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D" w:rsidRDefault="00415BAD" w:rsidP="00415BAD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541684">
        <w:rPr>
          <w:sz w:val="24"/>
        </w:rPr>
        <w:t xml:space="preserve"> 1</w:t>
      </w:r>
    </w:p>
    <w:p w:rsidR="00415BAD" w:rsidRPr="00DA4C0B" w:rsidRDefault="00415BAD" w:rsidP="00415BAD">
      <w:pPr>
        <w:ind w:left="5664"/>
        <w:rPr>
          <w:sz w:val="18"/>
          <w:szCs w:val="18"/>
        </w:rPr>
      </w:pPr>
    </w:p>
    <w:p w:rsidR="00415BAD" w:rsidRDefault="00415BAD" w:rsidP="00415BAD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415BAD" w:rsidRPr="005D7330" w:rsidRDefault="00415BAD" w:rsidP="00415BAD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BB4790">
        <w:rPr>
          <w:sz w:val="24"/>
        </w:rPr>
        <w:t>керівника Полтавської обласної прокуратури</w:t>
      </w:r>
    </w:p>
    <w:p w:rsidR="00415BAD" w:rsidRDefault="00415BAD" w:rsidP="00415BAD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BB4790">
        <w:rPr>
          <w:sz w:val="24"/>
        </w:rPr>
        <w:t>«</w:t>
      </w:r>
      <w:r w:rsidR="003C16B6">
        <w:rPr>
          <w:sz w:val="24"/>
        </w:rPr>
        <w:t>15</w:t>
      </w:r>
      <w:r w:rsidR="00BB4790">
        <w:rPr>
          <w:sz w:val="24"/>
        </w:rPr>
        <w:t>»</w:t>
      </w:r>
      <w:r>
        <w:rPr>
          <w:sz w:val="24"/>
        </w:rPr>
        <w:t xml:space="preserve"> </w:t>
      </w:r>
      <w:r w:rsidR="003C16B6">
        <w:rPr>
          <w:sz w:val="24"/>
        </w:rPr>
        <w:t>квіт</w:t>
      </w:r>
      <w:r>
        <w:rPr>
          <w:sz w:val="24"/>
        </w:rPr>
        <w:t>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2021року № </w:t>
      </w:r>
      <w:r w:rsidR="00541684">
        <w:rPr>
          <w:sz w:val="24"/>
        </w:rPr>
        <w:t>82</w:t>
      </w:r>
      <w:bookmarkStart w:id="0" w:name="_GoBack"/>
      <w:bookmarkEnd w:id="0"/>
    </w:p>
    <w:p w:rsidR="00B75BC9" w:rsidRDefault="00B75BC9" w:rsidP="00415BAD">
      <w:pPr>
        <w:jc w:val="center"/>
        <w:rPr>
          <w:b/>
          <w:sz w:val="24"/>
        </w:rPr>
      </w:pPr>
    </w:p>
    <w:p w:rsidR="00415BAD" w:rsidRPr="005D7330" w:rsidRDefault="00415BAD" w:rsidP="00415BAD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415BAD" w:rsidRPr="005D7330" w:rsidRDefault="00415BAD" w:rsidP="00415BAD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415BAD" w:rsidRPr="00673359" w:rsidRDefault="00415BAD" w:rsidP="00415BAD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A017C5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BB4790" w:rsidRDefault="001F026C" w:rsidP="001F026C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AE75F0">
        <w:rPr>
          <w:b/>
          <w:sz w:val="24"/>
          <w:szCs w:val="24"/>
        </w:rPr>
        <w:t>головного спеціаліста</w:t>
      </w:r>
      <w:r w:rsidRPr="00AE75F0">
        <w:rPr>
          <w:b/>
          <w:sz w:val="24"/>
          <w:szCs w:val="24"/>
          <w:lang w:eastAsia="uk-UA"/>
        </w:rPr>
        <w:t xml:space="preserve"> </w:t>
      </w:r>
      <w:r w:rsidRPr="00AE75F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відділу </w:t>
      </w:r>
      <w:r w:rsidR="003C16B6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організаційного та правового забезпечення</w:t>
      </w:r>
      <w:r w:rsidR="00BB479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1F026C" w:rsidRPr="00BE7D2E" w:rsidRDefault="00BB4790" w:rsidP="001F026C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Полтавської обласної прокуратури </w:t>
      </w:r>
    </w:p>
    <w:p w:rsidR="00415BAD" w:rsidRPr="003A17EA" w:rsidRDefault="00415BAD" w:rsidP="00415BAD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415BAD" w:rsidRPr="00FB1754" w:rsidTr="00A22051">
        <w:tc>
          <w:tcPr>
            <w:tcW w:w="9292" w:type="dxa"/>
            <w:gridSpan w:val="3"/>
            <w:vAlign w:val="center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415BAD" w:rsidRPr="00FB1754" w:rsidRDefault="00415BAD" w:rsidP="00A220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15BAD" w:rsidRPr="00FB1754" w:rsidTr="00A22051">
        <w:trPr>
          <w:trHeight w:val="1570"/>
        </w:trPr>
        <w:tc>
          <w:tcPr>
            <w:tcW w:w="3330" w:type="dxa"/>
            <w:gridSpan w:val="2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3C16B6" w:rsidRPr="008B5036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 w:rsidRPr="008B5036">
              <w:rPr>
                <w:sz w:val="24"/>
                <w:szCs w:val="24"/>
              </w:rPr>
              <w:t>участь в організаційному забезпеченні управлінських заходів за участі керівника Полтавської обласної прокуратури, підготов</w:t>
            </w:r>
            <w:r>
              <w:rPr>
                <w:sz w:val="24"/>
                <w:szCs w:val="24"/>
              </w:rPr>
              <w:t>ка</w:t>
            </w:r>
            <w:r w:rsidRPr="008B5036">
              <w:rPr>
                <w:sz w:val="24"/>
                <w:szCs w:val="24"/>
              </w:rPr>
              <w:t xml:space="preserve"> матеріалів до нарад у керівника обласної прокуратури, складанні протоколів нарад, </w:t>
            </w:r>
            <w:r>
              <w:rPr>
                <w:sz w:val="24"/>
                <w:szCs w:val="24"/>
              </w:rPr>
              <w:t xml:space="preserve">участь у їх проведенні, підготовка </w:t>
            </w:r>
            <w:r w:rsidRPr="008B503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ів</w:t>
            </w:r>
            <w:r w:rsidRPr="008B5036">
              <w:rPr>
                <w:sz w:val="24"/>
                <w:szCs w:val="24"/>
              </w:rPr>
              <w:t xml:space="preserve"> рапортів та листів у окружні прокуратури щодо виконання рішень нарад, про прод</w:t>
            </w:r>
            <w:r>
              <w:rPr>
                <w:sz w:val="24"/>
                <w:szCs w:val="24"/>
              </w:rPr>
              <w:t>овження чи зняття їх з контролю;</w:t>
            </w:r>
          </w:p>
          <w:p w:rsidR="003C16B6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6377C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56377C">
              <w:rPr>
                <w:sz w:val="24"/>
                <w:szCs w:val="24"/>
              </w:rPr>
              <w:t xml:space="preserve"> оперативн</w:t>
            </w:r>
            <w:r>
              <w:rPr>
                <w:sz w:val="24"/>
                <w:szCs w:val="24"/>
              </w:rPr>
              <w:t>ого</w:t>
            </w:r>
            <w:r w:rsidRPr="0056377C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ю</w:t>
            </w:r>
            <w:r w:rsidRPr="0056377C">
              <w:rPr>
                <w:sz w:val="24"/>
                <w:szCs w:val="24"/>
              </w:rPr>
              <w:t xml:space="preserve"> за виконанням у структурних підрозділах обласної прокуратури завдань і доручень керівництва офісу Генерального прокурора та обласної прокуратури, планових заходів, рішень оперативних (апаратних) нарад, проведених під головуванням керівника обласної прокуратури за додержанням вимог Регламенту</w:t>
            </w:r>
            <w:r>
              <w:rPr>
                <w:sz w:val="24"/>
                <w:szCs w:val="24"/>
              </w:rPr>
              <w:t>,</w:t>
            </w:r>
            <w:r w:rsidRPr="00563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56377C">
              <w:rPr>
                <w:sz w:val="24"/>
                <w:szCs w:val="24"/>
              </w:rPr>
              <w:t>авчасн</w:t>
            </w:r>
            <w:r>
              <w:rPr>
                <w:sz w:val="24"/>
                <w:szCs w:val="24"/>
              </w:rPr>
              <w:t>е</w:t>
            </w:r>
            <w:r w:rsidRPr="0056377C">
              <w:rPr>
                <w:sz w:val="24"/>
                <w:szCs w:val="24"/>
              </w:rPr>
              <w:t xml:space="preserve"> інформу</w:t>
            </w:r>
            <w:r>
              <w:rPr>
                <w:sz w:val="24"/>
                <w:szCs w:val="24"/>
              </w:rPr>
              <w:t>вання</w:t>
            </w:r>
            <w:r w:rsidRPr="0056377C">
              <w:rPr>
                <w:sz w:val="24"/>
                <w:szCs w:val="24"/>
              </w:rPr>
              <w:t xml:space="preserve"> начальника відділу про затримку їх виконання</w:t>
            </w:r>
            <w:r>
              <w:rPr>
                <w:sz w:val="24"/>
                <w:szCs w:val="24"/>
              </w:rPr>
              <w:t>; в</w:t>
            </w:r>
            <w:r w:rsidRPr="0056377C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ння</w:t>
            </w:r>
            <w:r w:rsidRPr="0056377C">
              <w:rPr>
                <w:sz w:val="24"/>
                <w:szCs w:val="24"/>
              </w:rPr>
              <w:t xml:space="preserve"> облік</w:t>
            </w:r>
            <w:r>
              <w:rPr>
                <w:sz w:val="24"/>
                <w:szCs w:val="24"/>
              </w:rPr>
              <w:t>у</w:t>
            </w:r>
            <w:r w:rsidRPr="0056377C">
              <w:rPr>
                <w:sz w:val="24"/>
                <w:szCs w:val="24"/>
              </w:rPr>
              <w:t xml:space="preserve"> документів, за виконанням яких встановлено контроль, оперативних нарад, проведених керівником обласної прокуратури, а т</w:t>
            </w:r>
            <w:r>
              <w:rPr>
                <w:sz w:val="24"/>
                <w:szCs w:val="24"/>
              </w:rPr>
              <w:t>акож загальний облік координаційних</w:t>
            </w:r>
            <w:r w:rsidRPr="0056377C">
              <w:rPr>
                <w:sz w:val="24"/>
                <w:szCs w:val="24"/>
              </w:rPr>
              <w:t xml:space="preserve"> та інших спільних нарад, проведених ке</w:t>
            </w:r>
            <w:r>
              <w:rPr>
                <w:sz w:val="24"/>
                <w:szCs w:val="24"/>
              </w:rPr>
              <w:t>рівництвом обласної прокуратури;</w:t>
            </w:r>
          </w:p>
          <w:p w:rsidR="003C16B6" w:rsidRPr="0056377C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>прац</w:t>
            </w:r>
            <w:r>
              <w:rPr>
                <w:color w:val="000000"/>
                <w:sz w:val="24"/>
                <w:szCs w:val="24"/>
                <w:lang w:eastAsia="uk-UA"/>
              </w:rPr>
              <w:t>ювання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>, які надходять від інших структурних підрозділів, окружних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прокуратур;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к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>онтрол</w:t>
            </w:r>
            <w:r>
              <w:rPr>
                <w:color w:val="000000"/>
                <w:sz w:val="24"/>
                <w:szCs w:val="24"/>
                <w:lang w:eastAsia="uk-UA"/>
              </w:rPr>
              <w:t>ь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>дотримання</w:t>
            </w:r>
            <w:r>
              <w:rPr>
                <w:color w:val="000000"/>
                <w:sz w:val="24"/>
                <w:szCs w:val="24"/>
                <w:lang w:eastAsia="uk-UA"/>
              </w:rPr>
              <w:t>м</w:t>
            </w:r>
            <w:r w:rsidRPr="0056377C">
              <w:rPr>
                <w:color w:val="000000"/>
                <w:sz w:val="24"/>
                <w:szCs w:val="24"/>
                <w:lang w:eastAsia="uk-UA"/>
              </w:rPr>
              <w:t xml:space="preserve"> порядку направлення завдань, доручень, листів із зауваженнями, орієнтовного та інформаційного </w:t>
            </w:r>
            <w:r>
              <w:rPr>
                <w:color w:val="000000"/>
                <w:sz w:val="24"/>
                <w:szCs w:val="24"/>
                <w:lang w:eastAsia="uk-UA"/>
              </w:rPr>
              <w:t>характеру до окружних прокуратур;</w:t>
            </w:r>
          </w:p>
          <w:p w:rsidR="003C16B6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</w:t>
            </w:r>
            <w:r w:rsidRPr="0056377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56377C">
              <w:rPr>
                <w:sz w:val="24"/>
                <w:szCs w:val="24"/>
              </w:rPr>
              <w:t xml:space="preserve"> організаційно-розпорядчих документів керівництва обласної прокуратури на їх відповідність вимогам законодавства та</w:t>
            </w:r>
            <w:r>
              <w:rPr>
                <w:sz w:val="24"/>
                <w:szCs w:val="24"/>
              </w:rPr>
              <w:t xml:space="preserve"> наказам Генерального прокурора; підготовка</w:t>
            </w:r>
            <w:r w:rsidRPr="0056377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56377C">
              <w:rPr>
                <w:sz w:val="24"/>
                <w:szCs w:val="24"/>
              </w:rPr>
              <w:t xml:space="preserve"> таких документів з питань, що належат</w:t>
            </w:r>
            <w:r>
              <w:rPr>
                <w:sz w:val="24"/>
                <w:szCs w:val="24"/>
              </w:rPr>
              <w:t>ь до компетенції відділу, формування електронної</w:t>
            </w:r>
            <w:r w:rsidRPr="0056377C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и відповідних документів;</w:t>
            </w:r>
          </w:p>
          <w:p w:rsidR="003C16B6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</w:t>
            </w:r>
            <w:r w:rsidRPr="0056377C">
              <w:rPr>
                <w:sz w:val="24"/>
                <w:szCs w:val="24"/>
              </w:rPr>
              <w:t xml:space="preserve"> розгляд</w:t>
            </w:r>
            <w:r>
              <w:rPr>
                <w:sz w:val="24"/>
                <w:szCs w:val="24"/>
              </w:rPr>
              <w:t>у</w:t>
            </w:r>
            <w:r w:rsidRPr="0056377C">
              <w:rPr>
                <w:sz w:val="24"/>
                <w:szCs w:val="24"/>
              </w:rPr>
              <w:t xml:space="preserve"> звернень та запитів на </w:t>
            </w:r>
            <w:r w:rsidRPr="0056377C">
              <w:rPr>
                <w:sz w:val="24"/>
                <w:szCs w:val="24"/>
              </w:rPr>
              <w:lastRenderedPageBreak/>
              <w:t>інформацію з питань, які на</w:t>
            </w:r>
            <w:r w:rsidR="00C334BE">
              <w:rPr>
                <w:sz w:val="24"/>
                <w:szCs w:val="24"/>
              </w:rPr>
              <w:t>лежать до компетенції відділу; з</w:t>
            </w:r>
            <w:r w:rsidRPr="0056377C">
              <w:rPr>
                <w:sz w:val="24"/>
                <w:szCs w:val="24"/>
              </w:rPr>
              <w:t>дійсн</w:t>
            </w:r>
            <w:r w:rsidR="00C334BE">
              <w:rPr>
                <w:sz w:val="24"/>
                <w:szCs w:val="24"/>
              </w:rPr>
              <w:t>ення</w:t>
            </w:r>
            <w:r w:rsidRPr="0056377C">
              <w:rPr>
                <w:sz w:val="24"/>
                <w:szCs w:val="24"/>
              </w:rPr>
              <w:t xml:space="preserve"> оприлюднення організаційно-розпорядчих документів</w:t>
            </w:r>
            <w:r w:rsidR="00C334BE">
              <w:rPr>
                <w:sz w:val="24"/>
                <w:szCs w:val="24"/>
              </w:rPr>
              <w:t>; в</w:t>
            </w:r>
            <w:r w:rsidRPr="0056377C">
              <w:rPr>
                <w:sz w:val="24"/>
                <w:szCs w:val="24"/>
              </w:rPr>
              <w:t>еде</w:t>
            </w:r>
            <w:r w:rsidR="00C334BE">
              <w:rPr>
                <w:sz w:val="24"/>
                <w:szCs w:val="24"/>
              </w:rPr>
              <w:t>ння</w:t>
            </w:r>
            <w:r w:rsidRPr="0056377C">
              <w:rPr>
                <w:sz w:val="24"/>
                <w:szCs w:val="24"/>
              </w:rPr>
              <w:t xml:space="preserve"> в інформаційній системі «Система електронного документообігу органів прокуратури України» відповідн</w:t>
            </w:r>
            <w:r w:rsidR="00C334BE">
              <w:rPr>
                <w:sz w:val="24"/>
                <w:szCs w:val="24"/>
              </w:rPr>
              <w:t>их</w:t>
            </w:r>
            <w:r w:rsidRPr="0056377C">
              <w:rPr>
                <w:sz w:val="24"/>
                <w:szCs w:val="24"/>
              </w:rPr>
              <w:t xml:space="preserve"> облік</w:t>
            </w:r>
            <w:r w:rsidR="00C334BE">
              <w:rPr>
                <w:sz w:val="24"/>
                <w:szCs w:val="24"/>
              </w:rPr>
              <w:t>ів проведеної роботи, накопичення</w:t>
            </w:r>
            <w:r w:rsidRPr="0056377C">
              <w:rPr>
                <w:sz w:val="24"/>
                <w:szCs w:val="24"/>
              </w:rPr>
              <w:t xml:space="preserve"> і систематиз</w:t>
            </w:r>
            <w:r w:rsidR="00C334BE">
              <w:rPr>
                <w:sz w:val="24"/>
                <w:szCs w:val="24"/>
              </w:rPr>
              <w:t>ація</w:t>
            </w:r>
            <w:r w:rsidRPr="0056377C">
              <w:rPr>
                <w:sz w:val="24"/>
                <w:szCs w:val="24"/>
              </w:rPr>
              <w:t xml:space="preserve"> матеріал</w:t>
            </w:r>
            <w:r w:rsidR="00C334BE">
              <w:rPr>
                <w:sz w:val="24"/>
                <w:szCs w:val="24"/>
              </w:rPr>
              <w:t>ів</w:t>
            </w:r>
            <w:r w:rsidRPr="0056377C">
              <w:rPr>
                <w:sz w:val="24"/>
                <w:szCs w:val="24"/>
              </w:rPr>
              <w:t>, інформації, інш</w:t>
            </w:r>
            <w:r w:rsidR="00C334BE">
              <w:rPr>
                <w:sz w:val="24"/>
                <w:szCs w:val="24"/>
              </w:rPr>
              <w:t>их</w:t>
            </w:r>
            <w:r w:rsidRPr="0056377C">
              <w:rPr>
                <w:sz w:val="24"/>
                <w:szCs w:val="24"/>
              </w:rPr>
              <w:t xml:space="preserve"> дан</w:t>
            </w:r>
            <w:r w:rsidR="00C334BE">
              <w:rPr>
                <w:sz w:val="24"/>
                <w:szCs w:val="24"/>
              </w:rPr>
              <w:t>их</w:t>
            </w:r>
            <w:r w:rsidRPr="0056377C">
              <w:rPr>
                <w:sz w:val="24"/>
                <w:szCs w:val="24"/>
              </w:rPr>
              <w:t>, необхідн</w:t>
            </w:r>
            <w:r w:rsidR="00C334BE">
              <w:rPr>
                <w:sz w:val="24"/>
                <w:szCs w:val="24"/>
              </w:rPr>
              <w:t>их</w:t>
            </w:r>
            <w:r w:rsidRPr="0056377C">
              <w:rPr>
                <w:sz w:val="24"/>
                <w:szCs w:val="24"/>
              </w:rPr>
              <w:t xml:space="preserve"> д</w:t>
            </w:r>
            <w:r w:rsidR="00C334BE">
              <w:rPr>
                <w:sz w:val="24"/>
                <w:szCs w:val="24"/>
              </w:rPr>
              <w:t>ля виконання покладених завдань;</w:t>
            </w:r>
          </w:p>
          <w:p w:rsidR="003C16B6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 w:rsidRPr="0056377C">
              <w:rPr>
                <w:sz w:val="24"/>
                <w:szCs w:val="24"/>
              </w:rPr>
              <w:t>участь у проведенні навчально-методичних заходів, а також стажуванн</w:t>
            </w:r>
            <w:r w:rsidR="00C334BE">
              <w:rPr>
                <w:sz w:val="24"/>
                <w:szCs w:val="24"/>
              </w:rPr>
              <w:t>я</w:t>
            </w:r>
            <w:r w:rsidRPr="0056377C">
              <w:rPr>
                <w:sz w:val="24"/>
                <w:szCs w:val="24"/>
              </w:rPr>
              <w:t xml:space="preserve"> працівників у відділі з питань організаційно-контрольної діяльності та правового забезпечення</w:t>
            </w:r>
            <w:r w:rsidR="00C334BE">
              <w:rPr>
                <w:sz w:val="24"/>
                <w:szCs w:val="24"/>
              </w:rPr>
              <w:t>;</w:t>
            </w:r>
            <w:r w:rsidRPr="0056377C">
              <w:rPr>
                <w:sz w:val="24"/>
                <w:szCs w:val="24"/>
              </w:rPr>
              <w:t xml:space="preserve"> </w:t>
            </w:r>
            <w:r w:rsidR="00C334BE">
              <w:rPr>
                <w:sz w:val="24"/>
                <w:szCs w:val="24"/>
              </w:rPr>
              <w:t>в</w:t>
            </w:r>
            <w:r w:rsidRPr="0056377C">
              <w:rPr>
                <w:sz w:val="24"/>
                <w:szCs w:val="24"/>
              </w:rPr>
              <w:t>н</w:t>
            </w:r>
            <w:r w:rsidR="00C334BE">
              <w:rPr>
                <w:sz w:val="24"/>
                <w:szCs w:val="24"/>
              </w:rPr>
              <w:t>есення</w:t>
            </w:r>
            <w:r w:rsidRPr="0056377C">
              <w:rPr>
                <w:sz w:val="24"/>
                <w:szCs w:val="24"/>
              </w:rPr>
              <w:t xml:space="preserve"> пропозиці</w:t>
            </w:r>
            <w:r w:rsidR="00C334BE">
              <w:rPr>
                <w:sz w:val="24"/>
                <w:szCs w:val="24"/>
              </w:rPr>
              <w:t>й</w:t>
            </w:r>
            <w:r w:rsidRPr="0056377C">
              <w:rPr>
                <w:sz w:val="24"/>
                <w:szCs w:val="24"/>
              </w:rPr>
              <w:t xml:space="preserve"> щодо удосконалення організац</w:t>
            </w:r>
            <w:r w:rsidR="00C334BE">
              <w:rPr>
                <w:sz w:val="24"/>
                <w:szCs w:val="24"/>
              </w:rPr>
              <w:t>ії роботи та контролю виконання;</w:t>
            </w:r>
          </w:p>
          <w:p w:rsidR="003C16B6" w:rsidRDefault="00C334BE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C16B6" w:rsidRPr="0056377C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="003C16B6" w:rsidRPr="0056377C">
              <w:rPr>
                <w:sz w:val="24"/>
                <w:szCs w:val="24"/>
              </w:rPr>
              <w:t xml:space="preserve"> облік</w:t>
            </w:r>
            <w:r>
              <w:rPr>
                <w:sz w:val="24"/>
                <w:szCs w:val="24"/>
              </w:rPr>
              <w:t>у</w:t>
            </w:r>
            <w:r w:rsidR="003C16B6" w:rsidRPr="0056377C">
              <w:rPr>
                <w:sz w:val="24"/>
                <w:szCs w:val="24"/>
              </w:rPr>
              <w:t xml:space="preserve"> та зберігання нормативно-правових актів</w:t>
            </w:r>
            <w:r>
              <w:rPr>
                <w:sz w:val="24"/>
                <w:szCs w:val="24"/>
              </w:rPr>
              <w:t>; п</w:t>
            </w:r>
            <w:r w:rsidR="003C16B6" w:rsidRPr="0056377C">
              <w:rPr>
                <w:sz w:val="24"/>
                <w:szCs w:val="24"/>
              </w:rPr>
              <w:t>ідтрим</w:t>
            </w:r>
            <w:r>
              <w:rPr>
                <w:sz w:val="24"/>
                <w:szCs w:val="24"/>
              </w:rPr>
              <w:t>ання</w:t>
            </w:r>
            <w:r w:rsidR="003C16B6" w:rsidRPr="0056377C">
              <w:rPr>
                <w:sz w:val="24"/>
                <w:szCs w:val="24"/>
              </w:rPr>
              <w:t xml:space="preserve"> нормативно-правов</w:t>
            </w:r>
            <w:r>
              <w:rPr>
                <w:sz w:val="24"/>
                <w:szCs w:val="24"/>
              </w:rPr>
              <w:t>их</w:t>
            </w:r>
            <w:r w:rsidR="003C16B6" w:rsidRPr="0056377C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ів</w:t>
            </w:r>
            <w:r w:rsidR="003C16B6" w:rsidRPr="0056377C">
              <w:rPr>
                <w:sz w:val="24"/>
                <w:szCs w:val="24"/>
              </w:rPr>
              <w:t xml:space="preserve"> в контрольному стані, своєчасн</w:t>
            </w:r>
            <w:r>
              <w:rPr>
                <w:sz w:val="24"/>
                <w:szCs w:val="24"/>
              </w:rPr>
              <w:t>е</w:t>
            </w:r>
            <w:r w:rsidR="003C16B6" w:rsidRPr="0056377C">
              <w:rPr>
                <w:sz w:val="24"/>
                <w:szCs w:val="24"/>
              </w:rPr>
              <w:t xml:space="preserve"> вн</w:t>
            </w:r>
            <w:r>
              <w:rPr>
                <w:sz w:val="24"/>
                <w:szCs w:val="24"/>
              </w:rPr>
              <w:t>есення до них змін</w:t>
            </w:r>
            <w:r w:rsidR="003C16B6" w:rsidRPr="0056377C">
              <w:rPr>
                <w:sz w:val="24"/>
                <w:szCs w:val="24"/>
              </w:rPr>
              <w:t xml:space="preserve"> і доповнен</w:t>
            </w:r>
            <w:r>
              <w:rPr>
                <w:sz w:val="24"/>
                <w:szCs w:val="24"/>
              </w:rPr>
              <w:t>ь; з</w:t>
            </w:r>
            <w:r w:rsidR="003C16B6" w:rsidRPr="0056377C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 консультативно-довідкової</w:t>
            </w:r>
            <w:r w:rsidR="003C16B6" w:rsidRPr="0056377C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и</w:t>
            </w:r>
            <w:r w:rsidR="003C16B6" w:rsidRPr="0056377C">
              <w:rPr>
                <w:sz w:val="24"/>
                <w:szCs w:val="24"/>
              </w:rPr>
              <w:t xml:space="preserve"> щодо інформування працівників про набрання (втрату) чинності нормативно-правовими актами, їх офіційного оприлюднення, </w:t>
            </w:r>
            <w:r>
              <w:rPr>
                <w:sz w:val="24"/>
                <w:szCs w:val="24"/>
              </w:rPr>
              <w:t>підготовка</w:t>
            </w:r>
            <w:r w:rsidR="003C16B6" w:rsidRPr="0056377C">
              <w:rPr>
                <w:sz w:val="24"/>
                <w:szCs w:val="24"/>
              </w:rPr>
              <w:t xml:space="preserve"> огляд</w:t>
            </w:r>
            <w:r>
              <w:rPr>
                <w:sz w:val="24"/>
                <w:szCs w:val="24"/>
              </w:rPr>
              <w:t>ів</w:t>
            </w:r>
            <w:r w:rsidR="003C16B6" w:rsidRPr="0056377C">
              <w:rPr>
                <w:sz w:val="24"/>
                <w:szCs w:val="24"/>
              </w:rPr>
              <w:t xml:space="preserve"> нового законодавства</w:t>
            </w:r>
            <w:r>
              <w:rPr>
                <w:sz w:val="24"/>
                <w:szCs w:val="24"/>
              </w:rPr>
              <w:t>;</w:t>
            </w:r>
          </w:p>
          <w:p w:rsidR="003C16B6" w:rsidRDefault="003C16B6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 w:rsidRPr="0056377C">
              <w:rPr>
                <w:sz w:val="24"/>
                <w:szCs w:val="24"/>
              </w:rPr>
              <w:t>участь у підготовці проектів інформацій про діяльність обласної прокуратури відповідно до вимог ч. 3 ст. 6 Закону України «Про прокуратуру» та виступів керівника обласної прокур</w:t>
            </w:r>
            <w:r w:rsidR="00C334BE">
              <w:rPr>
                <w:sz w:val="24"/>
                <w:szCs w:val="24"/>
              </w:rPr>
              <w:t>атури на нарадах, інших заходах;</w:t>
            </w:r>
          </w:p>
          <w:p w:rsidR="003C16B6" w:rsidRDefault="00C334BE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C16B6" w:rsidRPr="0056377C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="003C16B6" w:rsidRPr="0056377C">
              <w:rPr>
                <w:sz w:val="24"/>
                <w:szCs w:val="24"/>
              </w:rPr>
              <w:t xml:space="preserve"> ведення рубрик «Нормативні акти та документи», «Організаційно-розпорядчі документи», «Роз’яснення за</w:t>
            </w:r>
            <w:r w:rsidR="003C16B6">
              <w:rPr>
                <w:sz w:val="24"/>
                <w:szCs w:val="24"/>
              </w:rPr>
              <w:t xml:space="preserve">конодавства» на офіційному </w:t>
            </w:r>
            <w:proofErr w:type="spellStart"/>
            <w:r w:rsidR="003C16B6">
              <w:rPr>
                <w:sz w:val="24"/>
                <w:szCs w:val="24"/>
              </w:rPr>
              <w:t>вебс</w:t>
            </w:r>
            <w:r w:rsidR="003C16B6" w:rsidRPr="0056377C">
              <w:rPr>
                <w:sz w:val="24"/>
                <w:szCs w:val="24"/>
              </w:rPr>
              <w:t>айті</w:t>
            </w:r>
            <w:proofErr w:type="spellEnd"/>
            <w:r w:rsidR="003C16B6" w:rsidRPr="0056377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олтавської обласної прокуратури;</w:t>
            </w:r>
          </w:p>
          <w:p w:rsidR="00E61F12" w:rsidRPr="003C16B6" w:rsidRDefault="00C334BE" w:rsidP="003C16B6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16B6" w:rsidRPr="003C16B6">
              <w:rPr>
                <w:sz w:val="24"/>
                <w:szCs w:val="24"/>
              </w:rPr>
              <w:t>ідвищує рівень професійної компетентності шляхом складання індивідуальної програми, професійного навчання, підвищення кваліфікації, стажування та удосконалює організацію службової діяльності.</w:t>
            </w:r>
          </w:p>
        </w:tc>
      </w:tr>
      <w:tr w:rsidR="00415BAD" w:rsidRPr="00FB1754" w:rsidTr="00A22051">
        <w:trPr>
          <w:trHeight w:val="630"/>
        </w:trPr>
        <w:tc>
          <w:tcPr>
            <w:tcW w:w="3330" w:type="dxa"/>
            <w:gridSpan w:val="2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415BAD" w:rsidRPr="00B63560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B4790">
              <w:rPr>
                <w:sz w:val="24"/>
              </w:rPr>
              <w:t>5500</w:t>
            </w:r>
            <w:r>
              <w:rPr>
                <w:sz w:val="24"/>
              </w:rPr>
              <w:t xml:space="preserve"> грн.,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415BAD" w:rsidRPr="006C3161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Pr="00FB1754" w:rsidRDefault="00415BAD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415BAD" w:rsidRPr="00FB1754" w:rsidRDefault="00415BAD" w:rsidP="00A2205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415BAD" w:rsidRPr="00FB1754" w:rsidRDefault="00886392" w:rsidP="00A22051">
            <w:pPr>
              <w:rPr>
                <w:sz w:val="24"/>
              </w:rPr>
            </w:pPr>
            <w:r>
              <w:rPr>
                <w:sz w:val="24"/>
              </w:rPr>
              <w:t>безстроково</w:t>
            </w: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Pr="00FB1754" w:rsidRDefault="00415BAD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, згідно з додатком 2 Порядку проведення конкурсу на зайняття </w:t>
            </w:r>
            <w:r>
              <w:rPr>
                <w:sz w:val="24"/>
              </w:rPr>
              <w:lastRenderedPageBreak/>
              <w:t xml:space="preserve">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415BAD" w:rsidRPr="00796613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415BAD" w:rsidRPr="00FB1754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415BAD" w:rsidRPr="002D6B2F" w:rsidRDefault="00415BAD" w:rsidP="00A22051">
            <w:pPr>
              <w:spacing w:after="60"/>
              <w:rPr>
                <w:sz w:val="6"/>
                <w:szCs w:val="6"/>
              </w:rPr>
            </w:pPr>
          </w:p>
          <w:p w:rsidR="006B6B9E" w:rsidRDefault="006B6B9E" w:rsidP="00D0240C">
            <w:pPr>
              <w:spacing w:after="40"/>
              <w:rPr>
                <w:b/>
                <w:sz w:val="24"/>
              </w:rPr>
            </w:pPr>
          </w:p>
          <w:p w:rsidR="00415BAD" w:rsidRPr="001F026C" w:rsidRDefault="00415BAD" w:rsidP="00C334B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Документи приймаються </w:t>
            </w:r>
            <w:r w:rsidRPr="00F56C15">
              <w:rPr>
                <w:b/>
                <w:sz w:val="24"/>
              </w:rPr>
              <w:t>до</w:t>
            </w:r>
            <w:r w:rsidRPr="00F56C15">
              <w:rPr>
                <w:sz w:val="24"/>
              </w:rPr>
              <w:t xml:space="preserve"> </w:t>
            </w:r>
            <w:r w:rsidR="00B75BC9" w:rsidRPr="00F56C15">
              <w:rPr>
                <w:b/>
                <w:sz w:val="24"/>
              </w:rPr>
              <w:t>1</w:t>
            </w:r>
            <w:r w:rsidR="00C66334">
              <w:rPr>
                <w:b/>
                <w:sz w:val="24"/>
              </w:rPr>
              <w:t>6</w:t>
            </w:r>
            <w:r w:rsidRPr="00F56C15">
              <w:rPr>
                <w:b/>
                <w:sz w:val="24"/>
              </w:rPr>
              <w:t xml:space="preserve"> год. 00 хв. </w:t>
            </w:r>
            <w:r w:rsidRPr="00F56C15">
              <w:rPr>
                <w:b/>
                <w:sz w:val="24"/>
              </w:rPr>
              <w:br/>
            </w:r>
            <w:r w:rsidR="00C334BE">
              <w:rPr>
                <w:b/>
                <w:sz w:val="24"/>
              </w:rPr>
              <w:t>2</w:t>
            </w:r>
            <w:r w:rsidR="009D4FB2">
              <w:rPr>
                <w:b/>
                <w:sz w:val="24"/>
              </w:rPr>
              <w:t>1</w:t>
            </w:r>
            <w:r w:rsidRPr="00F56C15">
              <w:rPr>
                <w:b/>
                <w:sz w:val="24"/>
              </w:rPr>
              <w:t xml:space="preserve"> </w:t>
            </w:r>
            <w:r w:rsidR="00C334BE">
              <w:rPr>
                <w:b/>
                <w:sz w:val="24"/>
              </w:rPr>
              <w:t>квіт</w:t>
            </w:r>
            <w:r w:rsidRPr="00F56C15">
              <w:rPr>
                <w:b/>
                <w:sz w:val="24"/>
              </w:rPr>
              <w:t>ня 2021 року</w:t>
            </w:r>
            <w:r w:rsidR="00D0240C">
              <w:rPr>
                <w:b/>
                <w:sz w:val="24"/>
              </w:rPr>
              <w:t xml:space="preserve"> </w:t>
            </w:r>
            <w:r w:rsidR="00D0240C" w:rsidRPr="00FE562F">
              <w:rPr>
                <w:sz w:val="24"/>
                <w:szCs w:val="24"/>
              </w:rPr>
              <w:t>через Єдиний портал вакансій державної служби НАДС</w:t>
            </w:r>
          </w:p>
        </w:tc>
      </w:tr>
      <w:tr w:rsidR="00415BAD" w:rsidRPr="00FD62BB" w:rsidTr="00A22051">
        <w:tc>
          <w:tcPr>
            <w:tcW w:w="3330" w:type="dxa"/>
            <w:gridSpan w:val="2"/>
          </w:tcPr>
          <w:p w:rsidR="00415BAD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415BAD" w:rsidRPr="007350B5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415BAD" w:rsidRPr="007350B5" w:rsidRDefault="00415BAD" w:rsidP="00A2205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415BAD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15BAD" w:rsidRDefault="00415BAD" w:rsidP="00A22051">
            <w:pPr>
              <w:rPr>
                <w:sz w:val="12"/>
                <w:szCs w:val="12"/>
                <w:lang w:eastAsia="ru-RU"/>
              </w:rPr>
            </w:pPr>
          </w:p>
          <w:p w:rsidR="00415BAD" w:rsidRPr="00E84E82" w:rsidRDefault="00415BAD" w:rsidP="00A22051">
            <w:pPr>
              <w:rPr>
                <w:sz w:val="12"/>
                <w:szCs w:val="12"/>
                <w:lang w:eastAsia="ru-RU"/>
              </w:rPr>
            </w:pPr>
          </w:p>
        </w:tc>
      </w:tr>
      <w:tr w:rsidR="00415BAD" w:rsidRPr="00FD62BB" w:rsidTr="00A22051">
        <w:tc>
          <w:tcPr>
            <w:tcW w:w="3330" w:type="dxa"/>
            <w:gridSpan w:val="2"/>
          </w:tcPr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7521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і час </w:t>
            </w:r>
            <w:r w:rsidRPr="00EE7521">
              <w:rPr>
                <w:sz w:val="24"/>
                <w:szCs w:val="24"/>
              </w:rPr>
              <w:t xml:space="preserve">початку проведення </w:t>
            </w:r>
            <w:r>
              <w:rPr>
                <w:sz w:val="24"/>
                <w:szCs w:val="24"/>
              </w:rPr>
              <w:t>тестування</w:t>
            </w:r>
            <w:r w:rsidRPr="00EE7521">
              <w:rPr>
                <w:sz w:val="24"/>
                <w:szCs w:val="24"/>
              </w:rPr>
              <w:t xml:space="preserve"> кандидатів</w:t>
            </w:r>
          </w:p>
          <w:p w:rsidR="00415BAD" w:rsidRPr="002A4059" w:rsidRDefault="00415BAD" w:rsidP="00A22051">
            <w:pPr>
              <w:jc w:val="left"/>
              <w:rPr>
                <w:sz w:val="12"/>
                <w:szCs w:val="12"/>
              </w:rPr>
            </w:pP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або спосіб проведення тестування</w:t>
            </w: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</w:p>
          <w:p w:rsidR="00415BAD" w:rsidRPr="002A4059" w:rsidRDefault="00415BAD" w:rsidP="00A22051">
            <w:pPr>
              <w:jc w:val="left"/>
              <w:rPr>
                <w:sz w:val="48"/>
                <w:szCs w:val="48"/>
              </w:rPr>
            </w:pP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415BAD" w:rsidRPr="007350B5" w:rsidRDefault="00415BAD" w:rsidP="00A220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E61F12" w:rsidRDefault="00E61F12" w:rsidP="00E61F12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Полтавська обласна</w:t>
            </w:r>
            <w:r w:rsidRPr="00D35287">
              <w:rPr>
                <w:color w:val="000000"/>
                <w:sz w:val="24"/>
                <w:szCs w:val="24"/>
                <w:lang w:eastAsia="uk-UA"/>
              </w:rPr>
              <w:t xml:space="preserve"> прокуратура, </w:t>
            </w:r>
          </w:p>
          <w:p w:rsidR="00E61F12" w:rsidRDefault="00E61F12" w:rsidP="00E61F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Полтава, вул. 1100-річчя Полтави, 7</w:t>
            </w:r>
          </w:p>
          <w:p w:rsidR="00E61F12" w:rsidRDefault="00E61F12" w:rsidP="00E61F12">
            <w:pPr>
              <w:rPr>
                <w:rFonts w:eastAsia="Times New Roman"/>
                <w:sz w:val="24"/>
                <w:szCs w:val="24"/>
              </w:rPr>
            </w:pPr>
          </w:p>
          <w:p w:rsidR="00E61F12" w:rsidRPr="00F56C15" w:rsidRDefault="00E61F12" w:rsidP="00E61F12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1F12">
              <w:rPr>
                <w:rFonts w:eastAsia="Times New Roman"/>
                <w:b/>
                <w:sz w:val="24"/>
                <w:szCs w:val="24"/>
              </w:rPr>
              <w:t>Тестування:</w:t>
            </w:r>
            <w:r w:rsidRPr="00FE562F">
              <w:rPr>
                <w:rFonts w:eastAsia="Times New Roman"/>
                <w:sz w:val="24"/>
                <w:szCs w:val="24"/>
              </w:rPr>
              <w:t xml:space="preserve"> - </w:t>
            </w:r>
            <w:r w:rsidR="00C334BE">
              <w:rPr>
                <w:rFonts w:eastAsia="Times New Roman"/>
                <w:sz w:val="24"/>
                <w:szCs w:val="24"/>
              </w:rPr>
              <w:t>22</w:t>
            </w:r>
            <w:r w:rsidRPr="00F56C15">
              <w:rPr>
                <w:rFonts w:eastAsia="Times New Roman"/>
                <w:sz w:val="24"/>
                <w:szCs w:val="24"/>
              </w:rPr>
              <w:t xml:space="preserve"> квітня 2021 року о 10 год. 00 хв.</w:t>
            </w:r>
          </w:p>
          <w:p w:rsidR="00E61F12" w:rsidRPr="00F56C15" w:rsidRDefault="00E61F12" w:rsidP="00E61F12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15BAD" w:rsidRPr="007350B5" w:rsidRDefault="00E61F12" w:rsidP="00C334BE">
            <w:pPr>
              <w:rPr>
                <w:sz w:val="24"/>
                <w:szCs w:val="24"/>
              </w:rPr>
            </w:pPr>
            <w:r w:rsidRPr="00F56C15">
              <w:rPr>
                <w:rFonts w:eastAsia="Times New Roman"/>
                <w:b/>
                <w:sz w:val="24"/>
                <w:szCs w:val="24"/>
              </w:rPr>
              <w:t>Співбесіда</w:t>
            </w:r>
            <w:r w:rsidRPr="00F56C15">
              <w:rPr>
                <w:rFonts w:eastAsia="Times New Roman"/>
                <w:sz w:val="24"/>
                <w:szCs w:val="24"/>
              </w:rPr>
              <w:t xml:space="preserve">: - </w:t>
            </w:r>
            <w:r w:rsidR="00C334BE">
              <w:rPr>
                <w:rFonts w:eastAsia="Times New Roman"/>
                <w:sz w:val="24"/>
                <w:szCs w:val="24"/>
              </w:rPr>
              <w:t>22</w:t>
            </w:r>
            <w:r w:rsidRPr="00F56C15">
              <w:rPr>
                <w:rFonts w:eastAsia="Times New Roman"/>
                <w:sz w:val="24"/>
                <w:szCs w:val="24"/>
              </w:rPr>
              <w:t xml:space="preserve"> квітня 2021 року о 14 год. 00 хв.</w:t>
            </w:r>
            <w:r w:rsidRPr="00F03BF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FB1754">
              <w:rPr>
                <w:sz w:val="24"/>
              </w:rPr>
              <w:lastRenderedPageBreak/>
              <w:t>питань проведення конкурсу</w:t>
            </w:r>
          </w:p>
          <w:p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D0240C" w:rsidRPr="00A94F63" w:rsidRDefault="00D0240C" w:rsidP="00D0240C">
            <w:pPr>
              <w:spacing w:before="120"/>
              <w:rPr>
                <w:sz w:val="24"/>
                <w:szCs w:val="24"/>
                <w:lang w:val="ru-RU"/>
              </w:rPr>
            </w:pPr>
            <w:r w:rsidRPr="00A94F63">
              <w:rPr>
                <w:sz w:val="24"/>
                <w:szCs w:val="24"/>
                <w:lang w:val="ru-RU"/>
              </w:rPr>
              <w:lastRenderedPageBreak/>
              <w:t xml:space="preserve">Петрова </w:t>
            </w:r>
            <w:proofErr w:type="spellStart"/>
            <w:r w:rsidRPr="00A94F63">
              <w:rPr>
                <w:sz w:val="24"/>
                <w:szCs w:val="24"/>
                <w:lang w:val="ru-RU"/>
              </w:rPr>
              <w:t>Анастасія</w:t>
            </w:r>
            <w:proofErr w:type="spellEnd"/>
            <w:r w:rsidRPr="00A94F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F63">
              <w:rPr>
                <w:sz w:val="24"/>
                <w:szCs w:val="24"/>
                <w:lang w:val="ru-RU"/>
              </w:rPr>
              <w:t>Олександрівна</w:t>
            </w:r>
            <w:proofErr w:type="spellEnd"/>
            <w:r w:rsidRPr="00A94F63">
              <w:rPr>
                <w:sz w:val="24"/>
                <w:szCs w:val="24"/>
                <w:lang w:val="ru-RU"/>
              </w:rPr>
              <w:t xml:space="preserve">, </w:t>
            </w:r>
          </w:p>
          <w:p w:rsidR="00D0240C" w:rsidRPr="00A94F63" w:rsidRDefault="00D0240C" w:rsidP="00D0240C">
            <w:pPr>
              <w:spacing w:before="120"/>
              <w:rPr>
                <w:sz w:val="24"/>
                <w:szCs w:val="24"/>
                <w:lang w:val="ru-RU"/>
              </w:rPr>
            </w:pPr>
            <w:r w:rsidRPr="00A94F63">
              <w:rPr>
                <w:sz w:val="24"/>
                <w:szCs w:val="24"/>
                <w:lang w:val="ru-RU"/>
              </w:rPr>
              <w:t xml:space="preserve">тел. +38(0532) 56-21-77; </w:t>
            </w:r>
          </w:p>
          <w:p w:rsidR="00415BAD" w:rsidRPr="00FB1754" w:rsidRDefault="00D0240C" w:rsidP="00D0240C">
            <w:pPr>
              <w:rPr>
                <w:sz w:val="8"/>
                <w:szCs w:val="8"/>
              </w:rPr>
            </w:pPr>
            <w:proofErr w:type="gramStart"/>
            <w:r w:rsidRPr="00A94F63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A94F63">
              <w:rPr>
                <w:sz w:val="24"/>
                <w:szCs w:val="24"/>
                <w:lang w:val="en-US"/>
              </w:rPr>
              <w:t>-mail: vrk@pol.gp.gov.ua</w:t>
            </w:r>
          </w:p>
        </w:tc>
      </w:tr>
      <w:tr w:rsidR="00415BAD" w:rsidRPr="00FB1754" w:rsidTr="00A22051">
        <w:tc>
          <w:tcPr>
            <w:tcW w:w="9292" w:type="dxa"/>
            <w:gridSpan w:val="3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415BAD" w:rsidRDefault="00415BAD" w:rsidP="00A22051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</w:t>
            </w:r>
            <w:r w:rsidR="001F026C">
              <w:rPr>
                <w:sz w:val="24"/>
                <w:shd w:val="clear" w:color="auto" w:fill="FFFFFF"/>
              </w:rPr>
              <w:t>молодшого бакалавра або бакалавра</w:t>
            </w:r>
          </w:p>
          <w:p w:rsidR="00415BAD" w:rsidRPr="00FB1754" w:rsidRDefault="00415BAD" w:rsidP="00A22051">
            <w:pPr>
              <w:rPr>
                <w:sz w:val="6"/>
                <w:szCs w:val="6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1F026C" w:rsidRPr="00BE7D2E" w:rsidRDefault="001F026C" w:rsidP="001F026C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415BAD" w:rsidRPr="00FB1754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415BAD" w:rsidRPr="00FB1754" w:rsidTr="00A22051">
        <w:tc>
          <w:tcPr>
            <w:tcW w:w="9292" w:type="dxa"/>
            <w:gridSpan w:val="3"/>
            <w:vAlign w:val="center"/>
          </w:tcPr>
          <w:p w:rsidR="00415BAD" w:rsidRPr="008D2A80" w:rsidRDefault="00415BAD" w:rsidP="00A22051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:rsidR="00415BAD" w:rsidRPr="008D2A80" w:rsidRDefault="00415BAD" w:rsidP="00A2205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415BAD" w:rsidRPr="00B41DF4" w:rsidRDefault="00415BAD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415BAD" w:rsidRPr="00B41DF4" w:rsidRDefault="00415BAD" w:rsidP="00A22051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415BAD" w:rsidRPr="008D2A80" w:rsidRDefault="00415BAD" w:rsidP="00A22051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:rsidR="00415BAD" w:rsidRPr="008D2A80" w:rsidRDefault="00415BAD" w:rsidP="00A22051">
            <w:pPr>
              <w:rPr>
                <w:b/>
                <w:sz w:val="4"/>
                <w:szCs w:val="4"/>
              </w:rPr>
            </w:pPr>
          </w:p>
        </w:tc>
      </w:tr>
      <w:tr w:rsidR="005C0408" w:rsidRPr="00FB1754" w:rsidTr="008D2A80">
        <w:tc>
          <w:tcPr>
            <w:tcW w:w="675" w:type="dxa"/>
          </w:tcPr>
          <w:p w:rsidR="005C0408" w:rsidRPr="005C0408" w:rsidRDefault="005C0408" w:rsidP="005C0408">
            <w:pPr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5C0408" w:rsidRPr="008D2A80" w:rsidRDefault="008D2A80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b/>
                <w:sz w:val="24"/>
                <w:szCs w:val="24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Цифрова грамотність</w:t>
            </w:r>
          </w:p>
        </w:tc>
        <w:tc>
          <w:tcPr>
            <w:tcW w:w="5962" w:type="dxa"/>
            <w:shd w:val="clear" w:color="auto" w:fill="auto"/>
          </w:tcPr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сервіси </w:t>
            </w:r>
            <w:proofErr w:type="spellStart"/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інтернету</w:t>
            </w:r>
            <w:proofErr w:type="spellEnd"/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5C0408" w:rsidRPr="008D2A80" w:rsidRDefault="008D2A80" w:rsidP="008D2A80">
            <w:pPr>
              <w:widowControl w:val="0"/>
              <w:numPr>
                <w:ilvl w:val="0"/>
                <w:numId w:val="6"/>
              </w:numPr>
              <w:ind w:left="214" w:right="272" w:hanging="142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5C0408" w:rsidP="005C0408">
            <w:pPr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5C0408" w:rsidRPr="008D2A80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C0408" w:rsidRPr="008D2A80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5C0408" w:rsidRPr="008D2A80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 w:rsidR="008D2A8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B75BC9" w:rsidP="005C040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C0408" w:rsidRPr="005C0408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5C0408" w:rsidRPr="008D2A80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C0408" w:rsidRPr="008D2A80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C0408" w:rsidRPr="008D2A80" w:rsidRDefault="005C0408" w:rsidP="008D2A80">
            <w:pPr>
              <w:widowControl w:val="0"/>
              <w:numPr>
                <w:ilvl w:val="0"/>
                <w:numId w:val="5"/>
              </w:numPr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8D2A8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C0408" w:rsidRPr="00FB1754" w:rsidTr="00A22051">
        <w:tc>
          <w:tcPr>
            <w:tcW w:w="9292" w:type="dxa"/>
            <w:gridSpan w:val="3"/>
          </w:tcPr>
          <w:p w:rsidR="005C0408" w:rsidRPr="00FB1754" w:rsidRDefault="005C0408" w:rsidP="005C0408">
            <w:pPr>
              <w:jc w:val="center"/>
              <w:rPr>
                <w:b/>
                <w:sz w:val="4"/>
                <w:szCs w:val="4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Професійні знання</w:t>
            </w:r>
          </w:p>
          <w:p w:rsidR="005C0408" w:rsidRPr="00FB1754" w:rsidRDefault="005C0408" w:rsidP="005C0408">
            <w:pPr>
              <w:rPr>
                <w:sz w:val="4"/>
                <w:szCs w:val="4"/>
              </w:rPr>
            </w:pPr>
          </w:p>
        </w:tc>
      </w:tr>
      <w:tr w:rsidR="005C0408" w:rsidRPr="00FB1754" w:rsidTr="00A22051">
        <w:tc>
          <w:tcPr>
            <w:tcW w:w="675" w:type="dxa"/>
          </w:tcPr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5C0408" w:rsidRPr="003578AE" w:rsidRDefault="005C0408" w:rsidP="005C0408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5C0408" w:rsidRPr="003578AE" w:rsidRDefault="005C0408" w:rsidP="005C0408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  <w:p w:rsidR="005C0408" w:rsidRPr="003578AE" w:rsidRDefault="005C0408" w:rsidP="005C0408">
            <w:pPr>
              <w:rPr>
                <w:b/>
                <w:sz w:val="6"/>
                <w:szCs w:val="6"/>
              </w:rPr>
            </w:pPr>
          </w:p>
        </w:tc>
      </w:tr>
      <w:tr w:rsidR="005C0408" w:rsidRPr="00FB1754" w:rsidTr="00A22051">
        <w:trPr>
          <w:trHeight w:val="1440"/>
        </w:trPr>
        <w:tc>
          <w:tcPr>
            <w:tcW w:w="675" w:type="dxa"/>
          </w:tcPr>
          <w:p w:rsidR="005C0408" w:rsidRPr="00FB1754" w:rsidRDefault="005C0408" w:rsidP="005C040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5C0408" w:rsidRPr="00FB1754" w:rsidRDefault="005C0408" w:rsidP="005C040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5C0408" w:rsidRDefault="005C0408" w:rsidP="005C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C0408" w:rsidRPr="005C0408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5C0408" w:rsidRPr="005C0408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:rsidR="005C0408" w:rsidRPr="00DF131E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eastAsia="Calibri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5C0408" w:rsidRPr="00FB1754" w:rsidTr="001F026C">
        <w:trPr>
          <w:trHeight w:val="488"/>
        </w:trPr>
        <w:tc>
          <w:tcPr>
            <w:tcW w:w="675" w:type="dxa"/>
          </w:tcPr>
          <w:p w:rsidR="005C0408" w:rsidRPr="00FB1754" w:rsidRDefault="005C0408" w:rsidP="005C040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5C0408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:rsidR="005C0408" w:rsidRPr="00FB1754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5962" w:type="dxa"/>
          </w:tcPr>
          <w:p w:rsidR="005C0408" w:rsidRDefault="005C0408" w:rsidP="005C0408">
            <w:pPr>
              <w:tabs>
                <w:tab w:val="left" w:pos="412"/>
              </w:tabs>
              <w:spacing w:after="20"/>
              <w:ind w:left="95" w:right="120" w:hanging="95"/>
              <w:rPr>
                <w:rFonts w:eastAsia="Times New Roman" w:cs="Times New Roman"/>
                <w:sz w:val="24"/>
                <w:szCs w:val="24"/>
              </w:rPr>
            </w:pPr>
            <w:r w:rsidRPr="00AC408D">
              <w:rPr>
                <w:rFonts w:eastAsia="Times New Roman" w:cs="Times New Roman"/>
                <w:sz w:val="24"/>
                <w:szCs w:val="24"/>
              </w:rPr>
              <w:t>Знання:</w:t>
            </w:r>
          </w:p>
          <w:p w:rsidR="00E16D30" w:rsidRPr="0073435F" w:rsidRDefault="00E16D30" w:rsidP="00E16D30">
            <w:pPr>
              <w:widowControl w:val="0"/>
              <w:spacing w:after="120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3435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- Закону України «Про прокуратуру»;</w:t>
            </w:r>
          </w:p>
          <w:p w:rsidR="00E16D30" w:rsidRPr="0066426A" w:rsidRDefault="00E16D30" w:rsidP="00E16D30">
            <w:pPr>
              <w:spacing w:after="80"/>
              <w:rPr>
                <w:color w:val="000000"/>
                <w:sz w:val="24"/>
                <w:szCs w:val="24"/>
              </w:rPr>
            </w:pPr>
            <w:r w:rsidRPr="0066426A">
              <w:rPr>
                <w:color w:val="000000"/>
                <w:sz w:val="24"/>
                <w:szCs w:val="24"/>
              </w:rPr>
              <w:t>- Закону України «Про доступ до публічної інформації»;</w:t>
            </w:r>
          </w:p>
          <w:p w:rsidR="00E16D30" w:rsidRPr="0066426A" w:rsidRDefault="00E16D30" w:rsidP="00E16D30">
            <w:pPr>
              <w:spacing w:after="80"/>
              <w:rPr>
                <w:color w:val="000000"/>
                <w:sz w:val="24"/>
                <w:szCs w:val="24"/>
              </w:rPr>
            </w:pPr>
            <w:r w:rsidRPr="0066426A">
              <w:rPr>
                <w:color w:val="000000"/>
                <w:sz w:val="24"/>
                <w:szCs w:val="24"/>
              </w:rPr>
              <w:t>- Закону України «Про звернення громадян»;</w:t>
            </w:r>
          </w:p>
          <w:p w:rsidR="00E16D30" w:rsidRPr="005A4D3E" w:rsidRDefault="00E16D30" w:rsidP="00E16D30">
            <w:pPr>
              <w:spacing w:after="60"/>
              <w:rPr>
                <w:sz w:val="24"/>
                <w:szCs w:val="24"/>
              </w:rPr>
            </w:pPr>
            <w:r w:rsidRPr="005A4D3E"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У</w:t>
            </w:r>
            <w:r w:rsidRPr="005A4D3E">
              <w:rPr>
                <w:sz w:val="24"/>
                <w:szCs w:val="24"/>
              </w:rPr>
              <w:t>казу Президента України від  10.06.1997  №503/97 «Про порядок офіційного оприлюднення нормативно-правових актів та набрання ними чинності» (зі змінами);</w:t>
            </w:r>
          </w:p>
          <w:p w:rsidR="00E16D30" w:rsidRPr="005A4D3E" w:rsidRDefault="00E16D30" w:rsidP="00E16D30">
            <w:pPr>
              <w:spacing w:after="60"/>
              <w:rPr>
                <w:sz w:val="24"/>
                <w:szCs w:val="24"/>
              </w:rPr>
            </w:pPr>
            <w:r w:rsidRPr="005A4D3E">
              <w:rPr>
                <w:sz w:val="24"/>
                <w:szCs w:val="24"/>
              </w:rPr>
              <w:t>- Тимчасової інструкції з діловодства в органах прокуратури України (затверджено</w:t>
            </w:r>
            <w:r>
              <w:rPr>
                <w:sz w:val="24"/>
                <w:szCs w:val="24"/>
              </w:rPr>
              <w:t>ї</w:t>
            </w:r>
            <w:r w:rsidRPr="005A4D3E">
              <w:rPr>
                <w:sz w:val="24"/>
                <w:szCs w:val="24"/>
              </w:rPr>
              <w:t xml:space="preserve"> наказом Генеральної прокуратури України від 12.02.2019 №27);</w:t>
            </w:r>
          </w:p>
          <w:p w:rsidR="005C0408" w:rsidRPr="008D2A80" w:rsidRDefault="00E16D30" w:rsidP="00E16D30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30">
              <w:rPr>
                <w:rFonts w:ascii="Times New Roman" w:hAnsi="Times New Roman" w:cs="Times New Roman"/>
                <w:sz w:val="24"/>
                <w:szCs w:val="24"/>
              </w:rPr>
              <w:t> Наказу Генерального прокурора України «Про організацію роботи з питань правового аналізу, систематизації та обліку актів законодавства в органах прокуратури» від 15.03.2016  № 119</w:t>
            </w:r>
          </w:p>
          <w:p w:rsidR="008D2A80" w:rsidRPr="00E16D30" w:rsidRDefault="008D2A80" w:rsidP="00E16D30">
            <w:pPr>
              <w:pStyle w:val="a6"/>
              <w:numPr>
                <w:ilvl w:val="0"/>
                <w:numId w:val="5"/>
              </w:numPr>
              <w:tabs>
                <w:tab w:val="left" w:pos="412"/>
              </w:tabs>
              <w:spacing w:after="20" w:line="240" w:lineRule="auto"/>
              <w:ind w:left="95" w:right="260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Наказу Генерального прокурора «Про загальні засади організації роботи в органах прокуратури України» від 07.08.2020 № 365.</w:t>
            </w:r>
          </w:p>
        </w:tc>
      </w:tr>
    </w:tbl>
    <w:p w:rsidR="00415BAD" w:rsidRPr="00CE0C8F" w:rsidRDefault="00415BAD" w:rsidP="00415BAD">
      <w:pPr>
        <w:rPr>
          <w:sz w:val="2"/>
          <w:szCs w:val="2"/>
        </w:rPr>
      </w:pPr>
    </w:p>
    <w:p w:rsidR="00415BAD" w:rsidRDefault="00415BAD" w:rsidP="00415BAD"/>
    <w:p w:rsidR="00F42651" w:rsidRDefault="00F42651"/>
    <w:sectPr w:rsidR="00F42651" w:rsidSect="00A33A3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5B" w:rsidRDefault="00236B5B">
      <w:r>
        <w:separator/>
      </w:r>
    </w:p>
  </w:endnote>
  <w:endnote w:type="continuationSeparator" w:id="0">
    <w:p w:rsidR="00236B5B" w:rsidRDefault="0023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5B" w:rsidRDefault="00236B5B">
      <w:r>
        <w:separator/>
      </w:r>
    </w:p>
  </w:footnote>
  <w:footnote w:type="continuationSeparator" w:id="0">
    <w:p w:rsidR="00236B5B" w:rsidRDefault="0023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3676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84">
          <w:rPr>
            <w:noProof/>
          </w:rPr>
          <w:t>5</w:t>
        </w:r>
        <w:r>
          <w:fldChar w:fldCharType="end"/>
        </w:r>
      </w:p>
    </w:sdtContent>
  </w:sdt>
  <w:p w:rsidR="00524480" w:rsidRDefault="00236B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D"/>
    <w:rsid w:val="00005691"/>
    <w:rsid w:val="0002290A"/>
    <w:rsid w:val="00036507"/>
    <w:rsid w:val="00052422"/>
    <w:rsid w:val="00054A67"/>
    <w:rsid w:val="000644CC"/>
    <w:rsid w:val="00076C4F"/>
    <w:rsid w:val="0009309D"/>
    <w:rsid w:val="000C2E5A"/>
    <w:rsid w:val="000E42A4"/>
    <w:rsid w:val="000E78B0"/>
    <w:rsid w:val="000F0251"/>
    <w:rsid w:val="000F32C0"/>
    <w:rsid w:val="001130FC"/>
    <w:rsid w:val="00117086"/>
    <w:rsid w:val="00124BE2"/>
    <w:rsid w:val="00152FEC"/>
    <w:rsid w:val="00171824"/>
    <w:rsid w:val="001809E2"/>
    <w:rsid w:val="001D6D6D"/>
    <w:rsid w:val="001E1E0B"/>
    <w:rsid w:val="001E2FF5"/>
    <w:rsid w:val="001F026C"/>
    <w:rsid w:val="001F603F"/>
    <w:rsid w:val="00200B45"/>
    <w:rsid w:val="0021268E"/>
    <w:rsid w:val="00225630"/>
    <w:rsid w:val="002320C7"/>
    <w:rsid w:val="002324B6"/>
    <w:rsid w:val="00235015"/>
    <w:rsid w:val="00236B5B"/>
    <w:rsid w:val="0027544A"/>
    <w:rsid w:val="002B0234"/>
    <w:rsid w:val="00321539"/>
    <w:rsid w:val="00334ED8"/>
    <w:rsid w:val="003451DF"/>
    <w:rsid w:val="003676F5"/>
    <w:rsid w:val="00377D2E"/>
    <w:rsid w:val="00387F76"/>
    <w:rsid w:val="003C16B6"/>
    <w:rsid w:val="003D24DF"/>
    <w:rsid w:val="003F18F7"/>
    <w:rsid w:val="00415BAD"/>
    <w:rsid w:val="00417C11"/>
    <w:rsid w:val="004336FA"/>
    <w:rsid w:val="0045312E"/>
    <w:rsid w:val="004774CD"/>
    <w:rsid w:val="0049629B"/>
    <w:rsid w:val="004A4354"/>
    <w:rsid w:val="004A4BC6"/>
    <w:rsid w:val="004B35BC"/>
    <w:rsid w:val="004D7D5C"/>
    <w:rsid w:val="004E38A1"/>
    <w:rsid w:val="004E643E"/>
    <w:rsid w:val="00500F51"/>
    <w:rsid w:val="00503386"/>
    <w:rsid w:val="005248AF"/>
    <w:rsid w:val="00526D89"/>
    <w:rsid w:val="00541684"/>
    <w:rsid w:val="00564C90"/>
    <w:rsid w:val="005A2CB5"/>
    <w:rsid w:val="005B2D98"/>
    <w:rsid w:val="005C0408"/>
    <w:rsid w:val="005E5D48"/>
    <w:rsid w:val="006226AF"/>
    <w:rsid w:val="006467B3"/>
    <w:rsid w:val="006A7CB5"/>
    <w:rsid w:val="006B6B9E"/>
    <w:rsid w:val="006B6FA7"/>
    <w:rsid w:val="007176CC"/>
    <w:rsid w:val="00727AF8"/>
    <w:rsid w:val="00755D1C"/>
    <w:rsid w:val="00770170"/>
    <w:rsid w:val="00777899"/>
    <w:rsid w:val="007F6942"/>
    <w:rsid w:val="00850AE4"/>
    <w:rsid w:val="00865D96"/>
    <w:rsid w:val="00870976"/>
    <w:rsid w:val="00871529"/>
    <w:rsid w:val="00886392"/>
    <w:rsid w:val="008A04BD"/>
    <w:rsid w:val="008D2A80"/>
    <w:rsid w:val="008E329A"/>
    <w:rsid w:val="0091437A"/>
    <w:rsid w:val="009341FE"/>
    <w:rsid w:val="009654F9"/>
    <w:rsid w:val="009751A0"/>
    <w:rsid w:val="0099597B"/>
    <w:rsid w:val="009B4439"/>
    <w:rsid w:val="009D4FB2"/>
    <w:rsid w:val="009F0F0B"/>
    <w:rsid w:val="00A017C5"/>
    <w:rsid w:val="00A46B49"/>
    <w:rsid w:val="00A53A37"/>
    <w:rsid w:val="00A66628"/>
    <w:rsid w:val="00A92A83"/>
    <w:rsid w:val="00AA7018"/>
    <w:rsid w:val="00AB775D"/>
    <w:rsid w:val="00AC1AB6"/>
    <w:rsid w:val="00AC309A"/>
    <w:rsid w:val="00AD61A5"/>
    <w:rsid w:val="00AE275C"/>
    <w:rsid w:val="00B04C67"/>
    <w:rsid w:val="00B16393"/>
    <w:rsid w:val="00B2620B"/>
    <w:rsid w:val="00B6686B"/>
    <w:rsid w:val="00B67CCA"/>
    <w:rsid w:val="00B70A36"/>
    <w:rsid w:val="00B75BC9"/>
    <w:rsid w:val="00B87AC5"/>
    <w:rsid w:val="00BA0C48"/>
    <w:rsid w:val="00BA1890"/>
    <w:rsid w:val="00BB4790"/>
    <w:rsid w:val="00BD395D"/>
    <w:rsid w:val="00BD5DEA"/>
    <w:rsid w:val="00BE5C2B"/>
    <w:rsid w:val="00C334BE"/>
    <w:rsid w:val="00C66334"/>
    <w:rsid w:val="00CB21A9"/>
    <w:rsid w:val="00CB4055"/>
    <w:rsid w:val="00CD5003"/>
    <w:rsid w:val="00D0240C"/>
    <w:rsid w:val="00D03B57"/>
    <w:rsid w:val="00D04AFE"/>
    <w:rsid w:val="00D20557"/>
    <w:rsid w:val="00D2682E"/>
    <w:rsid w:val="00D44A83"/>
    <w:rsid w:val="00D675CF"/>
    <w:rsid w:val="00D92512"/>
    <w:rsid w:val="00DB3FD8"/>
    <w:rsid w:val="00DD1982"/>
    <w:rsid w:val="00DD1F08"/>
    <w:rsid w:val="00DF689F"/>
    <w:rsid w:val="00E070E6"/>
    <w:rsid w:val="00E15459"/>
    <w:rsid w:val="00E16D30"/>
    <w:rsid w:val="00E32975"/>
    <w:rsid w:val="00E61F12"/>
    <w:rsid w:val="00E66C65"/>
    <w:rsid w:val="00E71A4D"/>
    <w:rsid w:val="00E762E2"/>
    <w:rsid w:val="00EA39E7"/>
    <w:rsid w:val="00EA4B96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56C15"/>
    <w:rsid w:val="00FA0C87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11</cp:revision>
  <cp:lastPrinted>2021-03-25T08:27:00Z</cp:lastPrinted>
  <dcterms:created xsi:type="dcterms:W3CDTF">2021-03-23T13:15:00Z</dcterms:created>
  <dcterms:modified xsi:type="dcterms:W3CDTF">2021-04-15T11:57:00Z</dcterms:modified>
</cp:coreProperties>
</file>