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389C386F" w:rsidR="00432A05" w:rsidRDefault="009B206D"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w:t>
      </w:r>
      <w:r w:rsidR="00432A05">
        <w:rPr>
          <w:rFonts w:eastAsia="Times New Roman" w:cs="Times New Roman"/>
          <w:b/>
          <w:szCs w:val="28"/>
        </w:rPr>
        <w:t>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56FB08C" w14:textId="1ECF9763" w:rsidR="007C4729" w:rsidRPr="00046C03" w:rsidRDefault="009B206D" w:rsidP="00046C03">
      <w:pPr>
        <w:jc w:val="center"/>
        <w:rPr>
          <w:rFonts w:eastAsia="Times New Roman" w:cs="Times New Roman"/>
          <w:b/>
          <w:bCs/>
          <w:sz w:val="24"/>
          <w:szCs w:val="24"/>
          <w:u w:val="single"/>
        </w:rPr>
      </w:pPr>
      <w:r>
        <w:rPr>
          <w:rFonts w:eastAsia="Times New Roman" w:cs="Times New Roman"/>
          <w:b/>
          <w:bCs/>
          <w:sz w:val="24"/>
          <w:szCs w:val="24"/>
          <w:u w:val="single"/>
        </w:rPr>
        <w:t>спеціаліста Полтавської</w:t>
      </w:r>
      <w:r w:rsidR="00046C03">
        <w:rPr>
          <w:rFonts w:eastAsia="Times New Roman" w:cs="Times New Roman"/>
          <w:b/>
          <w:bCs/>
          <w:sz w:val="24"/>
          <w:szCs w:val="24"/>
          <w:u w:val="single"/>
        </w:rPr>
        <w:t xml:space="preserve"> окружної прокуратури Полтавської </w:t>
      </w:r>
      <w:r w:rsidR="00046C03" w:rsidRPr="00615248">
        <w:rPr>
          <w:rFonts w:eastAsia="Times New Roman" w:cs="Times New Roman"/>
          <w:b/>
          <w:bCs/>
          <w:sz w:val="24"/>
          <w:szCs w:val="24"/>
          <w:u w:val="single"/>
        </w:rPr>
        <w:t xml:space="preserve">області </w:t>
      </w:r>
    </w:p>
    <w:bookmarkEnd w:id="0"/>
    <w:p w14:paraId="0778F787" w14:textId="18FEDA63"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C02C65">
        <w:tc>
          <w:tcPr>
            <w:tcW w:w="9804"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C02C65" w:rsidRPr="00FB1754" w14:paraId="30277B44" w14:textId="77777777" w:rsidTr="00C02C65">
        <w:trPr>
          <w:trHeight w:val="3392"/>
        </w:trPr>
        <w:tc>
          <w:tcPr>
            <w:tcW w:w="2688" w:type="dxa"/>
            <w:gridSpan w:val="2"/>
          </w:tcPr>
          <w:p w14:paraId="136C52D5" w14:textId="77777777" w:rsidR="00C02C65" w:rsidRPr="00FB1754" w:rsidRDefault="00C02C65" w:rsidP="00C02C65">
            <w:pPr>
              <w:rPr>
                <w:sz w:val="24"/>
              </w:rPr>
            </w:pPr>
            <w:r w:rsidRPr="00FB1754">
              <w:rPr>
                <w:sz w:val="24"/>
              </w:rPr>
              <w:t xml:space="preserve">Посадові обов’язки </w:t>
            </w:r>
          </w:p>
        </w:tc>
        <w:tc>
          <w:tcPr>
            <w:tcW w:w="7116" w:type="dxa"/>
            <w:gridSpan w:val="2"/>
            <w:shd w:val="clear" w:color="auto" w:fill="auto"/>
          </w:tcPr>
          <w:p w14:paraId="2E1C11A9" w14:textId="4415927B" w:rsidR="00C02C65" w:rsidRPr="00EB7E8A" w:rsidRDefault="00C02C65" w:rsidP="00EB7E8A">
            <w:pPr>
              <w:rPr>
                <w:rFonts w:eastAsia="Times New Roman" w:cs="Times New Roman"/>
                <w:sz w:val="24"/>
                <w:szCs w:val="24"/>
                <w:lang w:eastAsia="ru-RU"/>
              </w:rPr>
            </w:pPr>
            <w:r w:rsidRPr="00EB7E8A">
              <w:rPr>
                <w:rFonts w:cs="Times New Roman"/>
                <w:sz w:val="24"/>
                <w:szCs w:val="24"/>
              </w:rPr>
              <w:t xml:space="preserve">- </w:t>
            </w:r>
            <w:r w:rsidR="00EB7E8A" w:rsidRPr="00EB7E8A">
              <w:rPr>
                <w:rFonts w:eastAsia="Calibri" w:cs="Times New Roman"/>
                <w:sz w:val="24"/>
                <w:szCs w:val="24"/>
              </w:rPr>
              <w:t xml:space="preserve">ведення діловодства </w:t>
            </w:r>
            <w:r w:rsidR="0042708C">
              <w:rPr>
                <w:rFonts w:eastAsia="Calibri" w:cs="Times New Roman"/>
                <w:sz w:val="24"/>
                <w:szCs w:val="24"/>
              </w:rPr>
              <w:t>в Полтавській</w:t>
            </w:r>
            <w:r w:rsidR="00EB7E8A" w:rsidRPr="00EB7E8A">
              <w:rPr>
                <w:rFonts w:eastAsia="Calibri" w:cs="Times New Roman"/>
                <w:sz w:val="24"/>
                <w:szCs w:val="24"/>
              </w:rPr>
              <w:t xml:space="preserve"> окружній прокуратурі, реєстрація вхідної, вихідної та внутрішньої кореспонденції, у тому числі інформаційній системі «Система електронного документообігу органів прокуратури України» та у відповідних книгах обліку, забезпечення обліку передачі та руху документів за призначенням</w:t>
            </w:r>
            <w:r w:rsidR="00EB7E8A" w:rsidRPr="00EB7E8A">
              <w:rPr>
                <w:rFonts w:cs="Times New Roman"/>
                <w:sz w:val="24"/>
                <w:szCs w:val="24"/>
              </w:rPr>
              <w:t>;</w:t>
            </w:r>
          </w:p>
          <w:p w14:paraId="26E51858" w14:textId="6060A158" w:rsidR="00EB7E8A" w:rsidRPr="00EB7E8A"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Pr="00EB7E8A">
              <w:rPr>
                <w:rFonts w:eastAsia="Times New Roman" w:cs="Times New Roman"/>
                <w:sz w:val="24"/>
                <w:szCs w:val="24"/>
                <w:lang w:eastAsia="ru-RU"/>
              </w:rPr>
              <w:t>вчасн</w:t>
            </w:r>
            <w:r w:rsidR="00B36EF2">
              <w:rPr>
                <w:rFonts w:eastAsia="Times New Roman" w:cs="Times New Roman"/>
                <w:sz w:val="24"/>
                <w:szCs w:val="24"/>
                <w:lang w:eastAsia="ru-RU"/>
              </w:rPr>
              <w:t>а</w:t>
            </w:r>
            <w:r w:rsidRPr="00EB7E8A">
              <w:rPr>
                <w:rFonts w:eastAsia="Times New Roman" w:cs="Times New Roman"/>
                <w:sz w:val="24"/>
                <w:szCs w:val="24"/>
                <w:lang w:eastAsia="ru-RU"/>
              </w:rPr>
              <w:t xml:space="preserve"> переда</w:t>
            </w:r>
            <w:r w:rsidR="00B36EF2">
              <w:rPr>
                <w:rFonts w:eastAsia="Times New Roman" w:cs="Times New Roman"/>
                <w:sz w:val="24"/>
                <w:szCs w:val="24"/>
                <w:lang w:eastAsia="ru-RU"/>
              </w:rPr>
              <w:t>ча</w:t>
            </w:r>
            <w:r w:rsidRPr="00EB7E8A">
              <w:rPr>
                <w:rFonts w:eastAsia="Times New Roman" w:cs="Times New Roman"/>
                <w:sz w:val="24"/>
                <w:szCs w:val="24"/>
                <w:lang w:eastAsia="ru-RU"/>
              </w:rPr>
              <w:t xml:space="preserve"> документ</w:t>
            </w:r>
            <w:r w:rsidR="00B36EF2">
              <w:rPr>
                <w:rFonts w:eastAsia="Times New Roman" w:cs="Times New Roman"/>
                <w:sz w:val="24"/>
                <w:szCs w:val="24"/>
                <w:lang w:eastAsia="ru-RU"/>
              </w:rPr>
              <w:t>ів</w:t>
            </w:r>
            <w:r w:rsidRPr="00EB7E8A">
              <w:rPr>
                <w:rFonts w:eastAsia="Times New Roman" w:cs="Times New Roman"/>
                <w:sz w:val="24"/>
                <w:szCs w:val="24"/>
                <w:lang w:eastAsia="ru-RU"/>
              </w:rPr>
              <w:t xml:space="preserve"> керівництву Полтавської окружної прокуратури і прокурорським працівникам прокуратури на розгляд та виконання;</w:t>
            </w:r>
          </w:p>
          <w:p w14:paraId="3DE3A1F7" w14:textId="4D2E00CE" w:rsidR="00EB7E8A"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Pr="00DD0FFB">
              <w:rPr>
                <w:rFonts w:eastAsia="Times New Roman" w:cs="Times New Roman"/>
                <w:sz w:val="24"/>
                <w:szCs w:val="24"/>
                <w:lang w:eastAsia="ru-RU"/>
              </w:rPr>
              <w:t>викон</w:t>
            </w:r>
            <w:r w:rsidR="00B36EF2">
              <w:rPr>
                <w:rFonts w:eastAsia="Times New Roman" w:cs="Times New Roman"/>
                <w:sz w:val="24"/>
                <w:szCs w:val="24"/>
                <w:lang w:eastAsia="ru-RU"/>
              </w:rPr>
              <w:t>ання</w:t>
            </w:r>
            <w:r w:rsidRPr="00DD0FFB">
              <w:rPr>
                <w:rFonts w:eastAsia="Times New Roman" w:cs="Times New Roman"/>
                <w:sz w:val="24"/>
                <w:szCs w:val="24"/>
                <w:lang w:eastAsia="ru-RU"/>
              </w:rPr>
              <w:t xml:space="preserve"> вказів</w:t>
            </w:r>
            <w:r w:rsidR="00B36EF2">
              <w:rPr>
                <w:rFonts w:eastAsia="Times New Roman" w:cs="Times New Roman"/>
                <w:sz w:val="24"/>
                <w:szCs w:val="24"/>
                <w:lang w:eastAsia="ru-RU"/>
              </w:rPr>
              <w:t>ок</w:t>
            </w:r>
            <w:r w:rsidRPr="00DD0FFB">
              <w:rPr>
                <w:rFonts w:eastAsia="Times New Roman" w:cs="Times New Roman"/>
                <w:sz w:val="24"/>
                <w:szCs w:val="24"/>
                <w:lang w:eastAsia="ru-RU"/>
              </w:rPr>
              <w:t>, доручен</w:t>
            </w:r>
            <w:r w:rsidR="00B36EF2">
              <w:rPr>
                <w:rFonts w:eastAsia="Times New Roman" w:cs="Times New Roman"/>
                <w:sz w:val="24"/>
                <w:szCs w:val="24"/>
                <w:lang w:eastAsia="ru-RU"/>
              </w:rPr>
              <w:t>ь</w:t>
            </w:r>
            <w:r w:rsidRPr="00DD0FFB">
              <w:rPr>
                <w:rFonts w:eastAsia="Times New Roman" w:cs="Times New Roman"/>
                <w:sz w:val="24"/>
                <w:szCs w:val="24"/>
                <w:lang w:eastAsia="ru-RU"/>
              </w:rPr>
              <w:t xml:space="preserve"> керівника Полтавської окружної прокуратури, першого заступника керівника Полтавської окружної прокуратури та заступників  у межах їх компетенції;</w:t>
            </w:r>
          </w:p>
          <w:p w14:paraId="60C94AD5" w14:textId="5FB5669A" w:rsidR="00EB7E8A"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0042708C">
              <w:rPr>
                <w:rFonts w:eastAsia="Times New Roman" w:cs="Times New Roman"/>
                <w:sz w:val="24"/>
                <w:szCs w:val="24"/>
                <w:lang w:eastAsia="ru-RU"/>
              </w:rPr>
              <w:t xml:space="preserve">забезпечення належного </w:t>
            </w:r>
            <w:r w:rsidRPr="00DD0FFB">
              <w:rPr>
                <w:rFonts w:eastAsia="Times New Roman" w:cs="Times New Roman"/>
                <w:sz w:val="24"/>
                <w:szCs w:val="24"/>
                <w:lang w:eastAsia="ru-RU"/>
              </w:rPr>
              <w:t>облік</w:t>
            </w:r>
            <w:r w:rsidR="00B36EF2">
              <w:rPr>
                <w:rFonts w:eastAsia="Times New Roman" w:cs="Times New Roman"/>
                <w:sz w:val="24"/>
                <w:szCs w:val="24"/>
                <w:lang w:eastAsia="ru-RU"/>
              </w:rPr>
              <w:t>у</w:t>
            </w:r>
            <w:r w:rsidRPr="00DD0FFB">
              <w:rPr>
                <w:rFonts w:eastAsia="Times New Roman" w:cs="Times New Roman"/>
                <w:sz w:val="24"/>
                <w:szCs w:val="24"/>
                <w:lang w:eastAsia="ru-RU"/>
              </w:rPr>
              <w:t xml:space="preserve"> та реєстраці</w:t>
            </w:r>
            <w:r w:rsidR="0042708C">
              <w:rPr>
                <w:rFonts w:eastAsia="Times New Roman" w:cs="Times New Roman"/>
                <w:sz w:val="24"/>
                <w:szCs w:val="24"/>
                <w:lang w:eastAsia="ru-RU"/>
              </w:rPr>
              <w:t>ї</w:t>
            </w:r>
            <w:r w:rsidRPr="00DD0FFB">
              <w:rPr>
                <w:rFonts w:eastAsia="Times New Roman" w:cs="Times New Roman"/>
                <w:sz w:val="24"/>
                <w:szCs w:val="24"/>
                <w:lang w:eastAsia="ru-RU"/>
              </w:rPr>
              <w:t xml:space="preserve"> наглядових проваджень</w:t>
            </w:r>
            <w:r w:rsidR="0042708C">
              <w:rPr>
                <w:rFonts w:eastAsia="Times New Roman" w:cs="Times New Roman"/>
                <w:sz w:val="24"/>
                <w:szCs w:val="24"/>
                <w:lang w:eastAsia="ru-RU"/>
              </w:rPr>
              <w:t xml:space="preserve">, заведених за </w:t>
            </w:r>
            <w:r w:rsidRPr="00DD0FFB">
              <w:rPr>
                <w:rFonts w:eastAsia="Times New Roman" w:cs="Times New Roman"/>
                <w:sz w:val="24"/>
                <w:szCs w:val="24"/>
                <w:lang w:eastAsia="ru-RU"/>
              </w:rPr>
              <w:t>кримінальни</w:t>
            </w:r>
            <w:r w:rsidR="0042708C">
              <w:rPr>
                <w:rFonts w:eastAsia="Times New Roman" w:cs="Times New Roman"/>
                <w:sz w:val="24"/>
                <w:szCs w:val="24"/>
                <w:lang w:eastAsia="ru-RU"/>
              </w:rPr>
              <w:t>ми</w:t>
            </w:r>
            <w:r w:rsidRPr="00DD0FFB">
              <w:rPr>
                <w:rFonts w:eastAsia="Times New Roman" w:cs="Times New Roman"/>
                <w:sz w:val="24"/>
                <w:szCs w:val="24"/>
                <w:lang w:eastAsia="ru-RU"/>
              </w:rPr>
              <w:t xml:space="preserve"> провадження</w:t>
            </w:r>
            <w:r w:rsidR="0042708C">
              <w:rPr>
                <w:rFonts w:eastAsia="Times New Roman" w:cs="Times New Roman"/>
                <w:sz w:val="24"/>
                <w:szCs w:val="24"/>
                <w:lang w:eastAsia="ru-RU"/>
              </w:rPr>
              <w:t>ми</w:t>
            </w:r>
            <w:r w:rsidRPr="00DD0FFB">
              <w:rPr>
                <w:rFonts w:eastAsia="Times New Roman" w:cs="Times New Roman"/>
                <w:sz w:val="24"/>
                <w:szCs w:val="24"/>
                <w:lang w:eastAsia="ru-RU"/>
              </w:rPr>
              <w:t>;</w:t>
            </w:r>
            <w:r w:rsidR="0042708C">
              <w:rPr>
                <w:rFonts w:eastAsia="Times New Roman" w:cs="Times New Roman"/>
                <w:sz w:val="24"/>
                <w:szCs w:val="24"/>
                <w:lang w:eastAsia="ru-RU"/>
              </w:rPr>
              <w:t xml:space="preserve"> спецповідомленнями, зверненнями, скаргами громадян, юридичних осіб.</w:t>
            </w:r>
          </w:p>
          <w:p w14:paraId="2548BFDF" w14:textId="556D135B" w:rsidR="00EB7E8A" w:rsidRPr="00DD0FFB"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0042708C">
              <w:rPr>
                <w:rFonts w:eastAsia="Times New Roman" w:cs="Times New Roman"/>
                <w:sz w:val="24"/>
                <w:szCs w:val="24"/>
                <w:lang w:eastAsia="ru-RU"/>
              </w:rPr>
              <w:t>здійснення підготовки і передачі справ до архівного фонду прокуратури згідно вимог Тимчасової інструкції з діловодства в органах прокуратури України</w:t>
            </w:r>
            <w:r w:rsidRPr="00DD0FFB">
              <w:rPr>
                <w:rFonts w:eastAsia="Times New Roman" w:cs="Times New Roman"/>
                <w:sz w:val="24"/>
                <w:szCs w:val="24"/>
                <w:lang w:eastAsia="ru-RU"/>
              </w:rPr>
              <w:t>;</w:t>
            </w:r>
          </w:p>
          <w:p w14:paraId="72F59677" w14:textId="2F3BBBFB" w:rsidR="00EB7E8A" w:rsidRPr="00DD0FFB" w:rsidRDefault="00EB7E8A" w:rsidP="00EB7E8A">
            <w:pPr>
              <w:rPr>
                <w:rFonts w:eastAsia="Times New Roman" w:cs="Times New Roman"/>
                <w:sz w:val="24"/>
                <w:szCs w:val="24"/>
                <w:lang w:eastAsia="ru-RU"/>
              </w:rPr>
            </w:pPr>
            <w:r>
              <w:rPr>
                <w:rFonts w:eastAsia="Times New Roman" w:cs="Times New Roman"/>
                <w:sz w:val="24"/>
                <w:szCs w:val="24"/>
                <w:lang w:eastAsia="ru-RU"/>
              </w:rPr>
              <w:t>-</w:t>
            </w:r>
            <w:r w:rsidRPr="00DD0FFB">
              <w:rPr>
                <w:rFonts w:eastAsia="Times New Roman" w:cs="Times New Roman"/>
                <w:sz w:val="24"/>
                <w:szCs w:val="24"/>
                <w:lang w:eastAsia="ru-RU"/>
              </w:rPr>
              <w:t>склад</w:t>
            </w:r>
            <w:r w:rsidR="00B36EF2">
              <w:rPr>
                <w:rFonts w:eastAsia="Times New Roman" w:cs="Times New Roman"/>
                <w:sz w:val="24"/>
                <w:szCs w:val="24"/>
                <w:lang w:eastAsia="ru-RU"/>
              </w:rPr>
              <w:t>ання</w:t>
            </w:r>
            <w:r w:rsidRPr="00DD0FFB">
              <w:rPr>
                <w:rFonts w:eastAsia="Times New Roman" w:cs="Times New Roman"/>
                <w:sz w:val="24"/>
                <w:szCs w:val="24"/>
                <w:lang w:eastAsia="ru-RU"/>
              </w:rPr>
              <w:t xml:space="preserve"> списк</w:t>
            </w:r>
            <w:r w:rsidR="00B36EF2">
              <w:rPr>
                <w:rFonts w:eastAsia="Times New Roman" w:cs="Times New Roman"/>
                <w:sz w:val="24"/>
                <w:szCs w:val="24"/>
                <w:lang w:eastAsia="ru-RU"/>
              </w:rPr>
              <w:t>ів</w:t>
            </w:r>
            <w:r w:rsidRPr="00DD0FFB">
              <w:rPr>
                <w:rFonts w:eastAsia="Times New Roman" w:cs="Times New Roman"/>
                <w:sz w:val="24"/>
                <w:szCs w:val="24"/>
                <w:lang w:eastAsia="ru-RU"/>
              </w:rPr>
              <w:t xml:space="preserve"> документів на знищення;</w:t>
            </w:r>
          </w:p>
          <w:p w14:paraId="4CFA0F3D" w14:textId="23B533F6" w:rsidR="00C02C65" w:rsidRPr="00C02C65" w:rsidRDefault="00EB7E8A" w:rsidP="00EB7E8A">
            <w:pPr>
              <w:tabs>
                <w:tab w:val="left" w:pos="1140"/>
              </w:tabs>
              <w:rPr>
                <w:sz w:val="24"/>
                <w:szCs w:val="24"/>
              </w:rPr>
            </w:pPr>
            <w:r>
              <w:rPr>
                <w:rFonts w:cs="Times New Roman"/>
                <w:sz w:val="24"/>
                <w:szCs w:val="24"/>
              </w:rPr>
              <w:t>-</w:t>
            </w:r>
            <w:r w:rsidRPr="00DD0FFB">
              <w:rPr>
                <w:rFonts w:cs="Times New Roman"/>
                <w:sz w:val="24"/>
                <w:szCs w:val="24"/>
              </w:rPr>
              <w:t>вжив</w:t>
            </w:r>
            <w:r w:rsidR="00B36EF2">
              <w:rPr>
                <w:rFonts w:cs="Times New Roman"/>
                <w:sz w:val="24"/>
                <w:szCs w:val="24"/>
              </w:rPr>
              <w:t>ання</w:t>
            </w:r>
            <w:r w:rsidRPr="00DD0FFB">
              <w:rPr>
                <w:rFonts w:cs="Times New Roman"/>
                <w:sz w:val="24"/>
                <w:szCs w:val="24"/>
              </w:rPr>
              <w:t xml:space="preserve"> заходів щодо упорядкування документаційного фонду в приміщеннях архіву</w:t>
            </w:r>
            <w:r>
              <w:rPr>
                <w:rFonts w:cs="Times New Roman"/>
                <w:sz w:val="24"/>
                <w:szCs w:val="24"/>
              </w:rPr>
              <w:t>.</w:t>
            </w:r>
          </w:p>
        </w:tc>
      </w:tr>
      <w:tr w:rsidR="00C02C65" w:rsidRPr="00FB1754" w14:paraId="7E115C87" w14:textId="77777777" w:rsidTr="00B0741D">
        <w:trPr>
          <w:trHeight w:val="1563"/>
        </w:trPr>
        <w:tc>
          <w:tcPr>
            <w:tcW w:w="2688" w:type="dxa"/>
            <w:gridSpan w:val="2"/>
          </w:tcPr>
          <w:p w14:paraId="75B0ACF4" w14:textId="77777777" w:rsidR="00C02C65" w:rsidRPr="0042708C" w:rsidRDefault="00C02C65" w:rsidP="0042708C">
            <w:pPr>
              <w:rPr>
                <w:sz w:val="24"/>
                <w:szCs w:val="24"/>
              </w:rPr>
            </w:pPr>
            <w:r w:rsidRPr="0042708C">
              <w:rPr>
                <w:sz w:val="24"/>
                <w:szCs w:val="24"/>
              </w:rPr>
              <w:t xml:space="preserve">Умови оплати праці </w:t>
            </w:r>
          </w:p>
        </w:tc>
        <w:tc>
          <w:tcPr>
            <w:tcW w:w="7116" w:type="dxa"/>
            <w:gridSpan w:val="2"/>
            <w:shd w:val="clear" w:color="auto" w:fill="auto"/>
          </w:tcPr>
          <w:p w14:paraId="15E7F0E6" w14:textId="12101E4E" w:rsidR="00C02C65" w:rsidRPr="0042708C" w:rsidRDefault="00B0741D" w:rsidP="0042708C">
            <w:pPr>
              <w:rPr>
                <w:sz w:val="24"/>
                <w:szCs w:val="24"/>
              </w:rPr>
            </w:pPr>
            <w:r>
              <w:rPr>
                <w:sz w:val="24"/>
                <w:szCs w:val="24"/>
              </w:rPr>
              <w:t xml:space="preserve">Посадовий оклад, надбавки, доплати, премії та компенсації відповідно до статей 50-52 Закону України «Про державну службу», </w:t>
            </w:r>
            <w:r w:rsidRPr="0042708C">
              <w:rPr>
                <w:sz w:val="24"/>
                <w:szCs w:val="24"/>
              </w:rPr>
              <w:t>Закону України «Про державний бюджет України на 2024 рік»</w:t>
            </w:r>
            <w:r>
              <w:rPr>
                <w:sz w:val="24"/>
                <w:szCs w:val="24"/>
              </w:rPr>
              <w:t xml:space="preserve">, постанов Кабінету Міністрів України від 18 січня 2017 року № 15 «Питання оплати праці працівників державних органів», </w:t>
            </w:r>
            <w:r w:rsidRPr="0042708C">
              <w:rPr>
                <w:sz w:val="24"/>
                <w:szCs w:val="24"/>
              </w:rPr>
              <w:t>від 29 грудня 2023 року № 1409 «Питання оплати праці державних службовців на основі класифікації посад у 2024 році»</w:t>
            </w:r>
          </w:p>
        </w:tc>
      </w:tr>
      <w:tr w:rsidR="00C02C65" w:rsidRPr="00FB1754" w14:paraId="053646A2" w14:textId="77777777" w:rsidTr="00C02C65">
        <w:tc>
          <w:tcPr>
            <w:tcW w:w="2688" w:type="dxa"/>
            <w:gridSpan w:val="2"/>
          </w:tcPr>
          <w:p w14:paraId="7B1790FD" w14:textId="2182E979" w:rsidR="00C02C65" w:rsidRPr="00801508" w:rsidRDefault="00C02C65" w:rsidP="00C02C65">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116" w:type="dxa"/>
            <w:gridSpan w:val="2"/>
          </w:tcPr>
          <w:p w14:paraId="49065379" w14:textId="4570B660" w:rsidR="00C02C65" w:rsidRDefault="00C02C65" w:rsidP="00C02C65">
            <w:pPr>
              <w:rPr>
                <w:sz w:val="24"/>
                <w:szCs w:val="24"/>
              </w:rPr>
            </w:pPr>
            <w:r>
              <w:rPr>
                <w:sz w:val="24"/>
                <w:szCs w:val="24"/>
              </w:rPr>
              <w:t>С</w:t>
            </w:r>
            <w:r w:rsidRPr="00432A05">
              <w:rPr>
                <w:sz w:val="24"/>
                <w:szCs w:val="24"/>
              </w:rPr>
              <w:t xml:space="preserve">троково,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Pr>
                <w:sz w:val="24"/>
                <w:szCs w:val="24"/>
              </w:rPr>
              <w:t xml:space="preserve">   </w:t>
            </w:r>
            <w:r w:rsidRPr="00432A05">
              <w:rPr>
                <w:sz w:val="24"/>
                <w:szCs w:val="24"/>
              </w:rPr>
              <w:t>чи скасування воєнного стану.</w:t>
            </w:r>
          </w:p>
          <w:p w14:paraId="10115B04" w14:textId="77777777" w:rsidR="00C02C65" w:rsidRPr="00432A05" w:rsidRDefault="00C02C65" w:rsidP="00C02C65">
            <w:pPr>
              <w:rPr>
                <w:sz w:val="24"/>
                <w:szCs w:val="24"/>
              </w:rPr>
            </w:pPr>
          </w:p>
          <w:p w14:paraId="5222341E" w14:textId="12BD1683" w:rsidR="00C02C65" w:rsidRPr="00FB1754" w:rsidRDefault="00C02C65" w:rsidP="00C02C65">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02C65" w:rsidRPr="00FB1754" w14:paraId="49C57FB3"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0E405F44" w14:textId="59D9EB5A" w:rsidR="00C02C65" w:rsidRPr="00FB1754" w:rsidRDefault="00C02C65" w:rsidP="00C02C65">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116" w:type="dxa"/>
            <w:gridSpan w:val="2"/>
            <w:tcBorders>
              <w:top w:val="single" w:sz="4" w:space="0" w:color="auto"/>
              <w:left w:val="single" w:sz="4" w:space="0" w:color="auto"/>
              <w:bottom w:val="single" w:sz="4" w:space="0" w:color="auto"/>
              <w:right w:val="single" w:sz="4" w:space="0" w:color="auto"/>
            </w:tcBorders>
          </w:tcPr>
          <w:p w14:paraId="1826B071" w14:textId="3D1A4701"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заява про призначення на посаду на період дії воєнного стану (з підписом);</w:t>
            </w:r>
          </w:p>
          <w:p w14:paraId="1F4BA33D" w14:textId="3B54D9FF"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резюме (відповідно до постанови КМУ від 25.03.2016                № 246);</w:t>
            </w:r>
          </w:p>
          <w:p w14:paraId="33C219E0" w14:textId="477B7A56"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 xml:space="preserve">особова картка державного службовця встановленого зразка (затверджена наказом НАДС від 19.05.2020 № 77-20) (з підписом); </w:t>
            </w:r>
          </w:p>
          <w:p w14:paraId="3867817D" w14:textId="77777777"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копія паспорта громадянина України;</w:t>
            </w:r>
          </w:p>
          <w:p w14:paraId="75DF6D73" w14:textId="49A28933"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 xml:space="preserve">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w:t>
            </w:r>
            <w:r w:rsidRPr="0042708C">
              <w:rPr>
                <w:rFonts w:ascii="Times New Roman" w:hAnsi="Times New Roman" w:cs="Times New Roman"/>
                <w:sz w:val="24"/>
              </w:rPr>
              <w:lastRenderedPageBreak/>
              <w:t>податків та повідомили про це відповідний контролюючий орган           і мають відмітку у паспорті);</w:t>
            </w:r>
          </w:p>
          <w:p w14:paraId="1776DB34" w14:textId="4DBECDD3"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копія трудової книжки;</w:t>
            </w:r>
          </w:p>
          <w:p w14:paraId="45C40845" w14:textId="3C1649CD"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C02C65" w:rsidRPr="0042708C"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sidRPr="0042708C">
              <w:rPr>
                <w:rFonts w:ascii="Times New Roman" w:hAnsi="Times New Roman" w:cs="Times New Roman"/>
                <w:sz w:val="24"/>
              </w:rPr>
              <w:t>державний сертифікат про рівень володіння державною мовою (за наявності).</w:t>
            </w:r>
          </w:p>
          <w:p w14:paraId="543609D7" w14:textId="77777777" w:rsidR="00C02C65" w:rsidRPr="0042708C" w:rsidRDefault="00C02C65" w:rsidP="00C02C65">
            <w:pPr>
              <w:pStyle w:val="a6"/>
              <w:spacing w:after="0" w:line="240" w:lineRule="auto"/>
              <w:ind w:left="321" w:hanging="4"/>
              <w:jc w:val="both"/>
              <w:rPr>
                <w:rFonts w:ascii="Times New Roman" w:hAnsi="Times New Roman" w:cs="Times New Roman"/>
                <w:sz w:val="24"/>
              </w:rPr>
            </w:pPr>
          </w:p>
          <w:p w14:paraId="25A1C313" w14:textId="26F49FE0" w:rsidR="00C02C65" w:rsidRPr="0042708C" w:rsidRDefault="00C02C65" w:rsidP="004D3E16">
            <w:pPr>
              <w:tabs>
                <w:tab w:val="left" w:pos="6286"/>
              </w:tabs>
              <w:rPr>
                <w:color w:val="000000"/>
                <w:sz w:val="24"/>
                <w:szCs w:val="24"/>
                <w:lang w:val="ru-RU" w:eastAsia="uk-UA"/>
              </w:rPr>
            </w:pPr>
            <w:r w:rsidRPr="0042708C">
              <w:rPr>
                <w:rFonts w:cs="Times New Roman"/>
                <w:sz w:val="24"/>
              </w:rPr>
              <w:t xml:space="preserve">Документи приймаються </w:t>
            </w:r>
            <w:r w:rsidRPr="0042708C">
              <w:rPr>
                <w:rFonts w:cs="Times New Roman"/>
                <w:b/>
                <w:bCs/>
                <w:sz w:val="24"/>
              </w:rPr>
              <w:t xml:space="preserve">до </w:t>
            </w:r>
            <w:r w:rsidR="0042708C" w:rsidRPr="0042708C">
              <w:rPr>
                <w:rFonts w:cs="Times New Roman"/>
                <w:b/>
                <w:bCs/>
                <w:sz w:val="24"/>
                <w:lang w:val="ru-RU"/>
              </w:rPr>
              <w:t>19 січня</w:t>
            </w:r>
            <w:r w:rsidRPr="0042708C">
              <w:rPr>
                <w:rFonts w:cs="Times New Roman"/>
                <w:b/>
                <w:bCs/>
                <w:sz w:val="24"/>
              </w:rPr>
              <w:t xml:space="preserve"> 202</w:t>
            </w:r>
            <w:r w:rsidR="0042708C" w:rsidRPr="0042708C">
              <w:rPr>
                <w:rFonts w:cs="Times New Roman"/>
                <w:b/>
                <w:bCs/>
                <w:sz w:val="24"/>
              </w:rPr>
              <w:t>4</w:t>
            </w:r>
            <w:r w:rsidRPr="0042708C">
              <w:rPr>
                <w:rFonts w:cs="Times New Roman"/>
                <w:b/>
                <w:bCs/>
                <w:sz w:val="24"/>
              </w:rPr>
              <w:t xml:space="preserve"> року</w:t>
            </w:r>
            <w:r w:rsidR="00797F20" w:rsidRPr="0042708C">
              <w:rPr>
                <w:rFonts w:cs="Times New Roman"/>
                <w:b/>
                <w:bCs/>
                <w:sz w:val="24"/>
              </w:rPr>
              <w:t xml:space="preserve"> включно</w:t>
            </w:r>
            <w:r w:rsidRPr="0042708C">
              <w:rPr>
                <w:rFonts w:cs="Times New Roman"/>
                <w:sz w:val="24"/>
              </w:rPr>
              <w:t xml:space="preserve"> на електронну адресу: </w:t>
            </w:r>
            <w:r w:rsidRPr="0042708C">
              <w:rPr>
                <w:color w:val="000000"/>
                <w:sz w:val="24"/>
                <w:szCs w:val="24"/>
                <w:lang w:val="en-US" w:eastAsia="uk-UA"/>
              </w:rPr>
              <w:t>poltava</w:t>
            </w:r>
            <w:r w:rsidRPr="0042708C">
              <w:rPr>
                <w:color w:val="000000"/>
                <w:sz w:val="24"/>
                <w:szCs w:val="24"/>
                <w:lang w:val="ru-RU" w:eastAsia="uk-UA"/>
              </w:rPr>
              <w:t>@</w:t>
            </w:r>
            <w:r w:rsidRPr="0042708C">
              <w:rPr>
                <w:color w:val="000000"/>
                <w:sz w:val="24"/>
                <w:szCs w:val="24"/>
                <w:lang w:val="en-US" w:eastAsia="uk-UA"/>
              </w:rPr>
              <w:t>pol</w:t>
            </w:r>
            <w:r w:rsidRPr="0042708C">
              <w:rPr>
                <w:color w:val="000000"/>
                <w:sz w:val="24"/>
                <w:szCs w:val="24"/>
                <w:lang w:val="ru-RU" w:eastAsia="uk-UA"/>
              </w:rPr>
              <w:t>.</w:t>
            </w:r>
            <w:r w:rsidRPr="0042708C">
              <w:rPr>
                <w:color w:val="000000"/>
                <w:sz w:val="24"/>
                <w:szCs w:val="24"/>
                <w:lang w:val="en-US" w:eastAsia="uk-UA"/>
              </w:rPr>
              <w:t>gp</w:t>
            </w:r>
            <w:r w:rsidRPr="0042708C">
              <w:rPr>
                <w:color w:val="000000"/>
                <w:sz w:val="24"/>
                <w:szCs w:val="24"/>
                <w:lang w:val="ru-RU" w:eastAsia="uk-UA"/>
              </w:rPr>
              <w:t>.</w:t>
            </w:r>
            <w:r w:rsidRPr="0042708C">
              <w:rPr>
                <w:color w:val="000000"/>
                <w:sz w:val="24"/>
                <w:szCs w:val="24"/>
                <w:lang w:val="en-US" w:eastAsia="uk-UA"/>
              </w:rPr>
              <w:t>gov</w:t>
            </w:r>
            <w:r w:rsidRPr="0042708C">
              <w:rPr>
                <w:color w:val="000000"/>
                <w:sz w:val="24"/>
                <w:szCs w:val="24"/>
                <w:lang w:val="ru-RU" w:eastAsia="uk-UA"/>
              </w:rPr>
              <w:t>.</w:t>
            </w:r>
            <w:r w:rsidRPr="0042708C">
              <w:rPr>
                <w:color w:val="000000"/>
                <w:sz w:val="24"/>
                <w:szCs w:val="24"/>
                <w:lang w:val="en-US" w:eastAsia="uk-UA"/>
              </w:rPr>
              <w:t>ua</w:t>
            </w:r>
            <w:r w:rsidRPr="0042708C">
              <w:rPr>
                <w:color w:val="000000"/>
                <w:sz w:val="24"/>
                <w:szCs w:val="24"/>
                <w:lang w:eastAsia="uk-UA"/>
              </w:rPr>
              <w:t xml:space="preserve"> </w:t>
            </w:r>
            <w:r w:rsidRPr="0042708C">
              <w:rPr>
                <w:rFonts w:cs="Times New Roman"/>
                <w:sz w:val="24"/>
              </w:rPr>
              <w:t xml:space="preserve">або </w:t>
            </w:r>
            <w:r w:rsidRPr="0042708C">
              <w:rPr>
                <w:rFonts w:cs="Times New Roman"/>
                <w:b/>
                <w:bCs/>
                <w:sz w:val="24"/>
              </w:rPr>
              <w:t>через скриньку звернень громадян</w:t>
            </w:r>
            <w:r w:rsidRPr="0042708C">
              <w:rPr>
                <w:rFonts w:cs="Times New Roman"/>
                <w:sz w:val="24"/>
              </w:rPr>
              <w:t xml:space="preserve"> у Полтавській окружній прокуратурі за адресою: вул. </w:t>
            </w:r>
            <w:r w:rsidR="004D3E16" w:rsidRPr="0042708C">
              <w:rPr>
                <w:rFonts w:cs="Times New Roman"/>
                <w:sz w:val="24"/>
              </w:rPr>
              <w:t>Антона Грицая</w:t>
            </w:r>
            <w:r w:rsidRPr="0042708C">
              <w:rPr>
                <w:rFonts w:cs="Times New Roman"/>
                <w:sz w:val="24"/>
              </w:rPr>
              <w:t>,1, м. Полтава, 36000</w:t>
            </w:r>
          </w:p>
        </w:tc>
      </w:tr>
      <w:tr w:rsidR="00C02C65" w:rsidRPr="00FB1754" w14:paraId="6EFA3C01"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24EE8720" w14:textId="186CD8AA" w:rsidR="00C02C65" w:rsidRPr="00741D86" w:rsidRDefault="00C02C65" w:rsidP="00C02C65">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116" w:type="dxa"/>
            <w:gridSpan w:val="2"/>
            <w:tcBorders>
              <w:top w:val="single" w:sz="4" w:space="0" w:color="auto"/>
              <w:left w:val="single" w:sz="4" w:space="0" w:color="auto"/>
              <w:bottom w:val="single" w:sz="4" w:space="0" w:color="auto"/>
              <w:right w:val="single" w:sz="4" w:space="0" w:color="auto"/>
            </w:tcBorders>
          </w:tcPr>
          <w:p w14:paraId="2150A877" w14:textId="50CB3DE5" w:rsidR="00C02C65" w:rsidRPr="0042708C" w:rsidRDefault="00C02C65" w:rsidP="00C02C65">
            <w:pPr>
              <w:rPr>
                <w:rFonts w:eastAsia="Arial" w:cs="Times New Roman"/>
                <w:b/>
                <w:bCs/>
                <w:sz w:val="24"/>
                <w:szCs w:val="24"/>
                <w:lang w:val="ru-RU"/>
              </w:rPr>
            </w:pPr>
            <w:r w:rsidRPr="0042708C">
              <w:rPr>
                <w:rFonts w:eastAsia="Arial" w:cs="Times New Roman"/>
                <w:b/>
                <w:bCs/>
                <w:sz w:val="24"/>
                <w:szCs w:val="24"/>
                <w:lang w:val="ru-RU"/>
              </w:rPr>
              <w:t>Гайдара Інна Вікторівна</w:t>
            </w:r>
          </w:p>
          <w:p w14:paraId="2E5BA0BE" w14:textId="77777777" w:rsidR="00C02C65" w:rsidRPr="0042708C" w:rsidRDefault="00C02C65" w:rsidP="00C02C65">
            <w:pPr>
              <w:rPr>
                <w:rFonts w:cs="Times New Roman"/>
                <w:sz w:val="24"/>
                <w:szCs w:val="24"/>
                <w:lang w:val="ru-RU"/>
              </w:rPr>
            </w:pPr>
          </w:p>
          <w:p w14:paraId="0C3265C1" w14:textId="588014F6" w:rsidR="00C02C65" w:rsidRPr="0042708C" w:rsidRDefault="00B0741D" w:rsidP="00C02C65">
            <w:pPr>
              <w:rPr>
                <w:rFonts w:cs="Times New Roman"/>
                <w:sz w:val="24"/>
                <w:szCs w:val="24"/>
                <w:lang w:val="ru-RU"/>
              </w:rPr>
            </w:pPr>
            <w:r>
              <w:rPr>
                <w:rFonts w:cs="Times New Roman"/>
                <w:sz w:val="24"/>
                <w:szCs w:val="24"/>
                <w:lang w:val="ru-RU"/>
              </w:rPr>
              <w:t>(0532</w:t>
            </w:r>
            <w:r w:rsidR="00C02C65" w:rsidRPr="0042708C">
              <w:rPr>
                <w:rFonts w:cs="Times New Roman"/>
                <w:sz w:val="24"/>
                <w:szCs w:val="24"/>
                <w:lang w:val="ru-RU"/>
              </w:rPr>
              <w:t>)</w:t>
            </w:r>
            <w:r>
              <w:rPr>
                <w:rFonts w:cs="Times New Roman"/>
                <w:sz w:val="24"/>
                <w:szCs w:val="24"/>
                <w:lang w:val="ru-RU"/>
              </w:rPr>
              <w:t>56-55-37</w:t>
            </w:r>
          </w:p>
          <w:p w14:paraId="775E128A" w14:textId="12A8205C" w:rsidR="00C02C65" w:rsidRPr="0042708C" w:rsidRDefault="00C02C65" w:rsidP="00AE7256">
            <w:pPr>
              <w:rPr>
                <w:sz w:val="8"/>
                <w:szCs w:val="8"/>
              </w:rPr>
            </w:pPr>
          </w:p>
        </w:tc>
      </w:tr>
      <w:tr w:rsidR="00C02C65" w:rsidRPr="00FB1754" w14:paraId="05868B1E" w14:textId="77777777" w:rsidTr="00C02C65">
        <w:tc>
          <w:tcPr>
            <w:tcW w:w="9804" w:type="dxa"/>
            <w:gridSpan w:val="4"/>
          </w:tcPr>
          <w:p w14:paraId="10DCE695" w14:textId="77777777" w:rsidR="00C02C65" w:rsidRPr="00FB1754" w:rsidRDefault="00C02C65" w:rsidP="00C02C65">
            <w:pPr>
              <w:jc w:val="center"/>
              <w:rPr>
                <w:b/>
                <w:sz w:val="24"/>
              </w:rPr>
            </w:pPr>
            <w:r w:rsidRPr="00FB1754">
              <w:rPr>
                <w:b/>
                <w:sz w:val="24"/>
              </w:rPr>
              <w:t>Кваліфікаційні вимоги</w:t>
            </w:r>
          </w:p>
        </w:tc>
      </w:tr>
      <w:tr w:rsidR="00C02C65" w:rsidRPr="00FB1754" w14:paraId="433FB299" w14:textId="77777777" w:rsidTr="00C02C65">
        <w:tc>
          <w:tcPr>
            <w:tcW w:w="572" w:type="dxa"/>
          </w:tcPr>
          <w:p w14:paraId="1593BF17" w14:textId="77777777" w:rsidR="00C02C65" w:rsidRPr="00FB1754" w:rsidRDefault="00C02C65" w:rsidP="00C02C65">
            <w:pPr>
              <w:jc w:val="center"/>
              <w:rPr>
                <w:sz w:val="24"/>
              </w:rPr>
            </w:pPr>
            <w:r w:rsidRPr="00FB1754">
              <w:rPr>
                <w:sz w:val="24"/>
              </w:rPr>
              <w:t>1</w:t>
            </w:r>
            <w:r>
              <w:rPr>
                <w:sz w:val="24"/>
              </w:rPr>
              <w:t>.</w:t>
            </w:r>
          </w:p>
        </w:tc>
        <w:tc>
          <w:tcPr>
            <w:tcW w:w="2532" w:type="dxa"/>
            <w:gridSpan w:val="2"/>
          </w:tcPr>
          <w:p w14:paraId="601689E1" w14:textId="77777777" w:rsidR="00C02C65" w:rsidRPr="00FB1754" w:rsidRDefault="00C02C65" w:rsidP="00C02C65">
            <w:pPr>
              <w:rPr>
                <w:sz w:val="24"/>
              </w:rPr>
            </w:pPr>
            <w:r w:rsidRPr="00FB1754">
              <w:rPr>
                <w:sz w:val="24"/>
              </w:rPr>
              <w:t>Освіта</w:t>
            </w:r>
          </w:p>
        </w:tc>
        <w:tc>
          <w:tcPr>
            <w:tcW w:w="6700" w:type="dxa"/>
          </w:tcPr>
          <w:p w14:paraId="32500795" w14:textId="07C3F054" w:rsidR="00C02C65" w:rsidRPr="00D53F0B" w:rsidRDefault="00C02C65" w:rsidP="00C02C65">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C02C65" w:rsidRPr="00FB1754" w14:paraId="11CC1BB4" w14:textId="77777777" w:rsidTr="00C02C65">
        <w:tc>
          <w:tcPr>
            <w:tcW w:w="572" w:type="dxa"/>
          </w:tcPr>
          <w:p w14:paraId="7DB37EC1" w14:textId="77777777" w:rsidR="00C02C65" w:rsidRPr="00FB1754" w:rsidRDefault="00C02C65" w:rsidP="00C02C65">
            <w:pPr>
              <w:jc w:val="center"/>
              <w:rPr>
                <w:sz w:val="24"/>
              </w:rPr>
            </w:pPr>
            <w:r w:rsidRPr="00FB1754">
              <w:rPr>
                <w:sz w:val="24"/>
              </w:rPr>
              <w:t>2</w:t>
            </w:r>
            <w:r>
              <w:rPr>
                <w:sz w:val="24"/>
              </w:rPr>
              <w:t>.</w:t>
            </w:r>
          </w:p>
        </w:tc>
        <w:tc>
          <w:tcPr>
            <w:tcW w:w="2532" w:type="dxa"/>
            <w:gridSpan w:val="2"/>
          </w:tcPr>
          <w:p w14:paraId="6A12B6E2" w14:textId="77777777" w:rsidR="00C02C65" w:rsidRPr="00FB1754" w:rsidRDefault="00C02C65" w:rsidP="00C02C65">
            <w:pPr>
              <w:rPr>
                <w:sz w:val="24"/>
              </w:rPr>
            </w:pPr>
            <w:r w:rsidRPr="00FB1754">
              <w:rPr>
                <w:sz w:val="24"/>
              </w:rPr>
              <w:t xml:space="preserve">Досвід роботи </w:t>
            </w:r>
          </w:p>
        </w:tc>
        <w:tc>
          <w:tcPr>
            <w:tcW w:w="6700" w:type="dxa"/>
          </w:tcPr>
          <w:p w14:paraId="525E96CD" w14:textId="1D957584" w:rsidR="00C02C65" w:rsidRPr="005B1AB6" w:rsidRDefault="00C02C65" w:rsidP="00C02C65">
            <w:pPr>
              <w:rPr>
                <w:sz w:val="24"/>
              </w:rPr>
            </w:pPr>
            <w:r>
              <w:rPr>
                <w:sz w:val="24"/>
              </w:rPr>
              <w:t>не потребує</w:t>
            </w:r>
          </w:p>
        </w:tc>
      </w:tr>
      <w:tr w:rsidR="00C02C65" w:rsidRPr="00FB1754" w14:paraId="165988D9" w14:textId="77777777" w:rsidTr="00C02C65">
        <w:tc>
          <w:tcPr>
            <w:tcW w:w="572" w:type="dxa"/>
          </w:tcPr>
          <w:p w14:paraId="5E4F8B13" w14:textId="77777777" w:rsidR="00C02C65" w:rsidRPr="00FB1754" w:rsidRDefault="00C02C65" w:rsidP="00C02C65">
            <w:pPr>
              <w:jc w:val="center"/>
              <w:rPr>
                <w:sz w:val="24"/>
              </w:rPr>
            </w:pPr>
            <w:r w:rsidRPr="00FB1754">
              <w:rPr>
                <w:sz w:val="24"/>
              </w:rPr>
              <w:t>3</w:t>
            </w:r>
            <w:r>
              <w:rPr>
                <w:sz w:val="24"/>
              </w:rPr>
              <w:t>.</w:t>
            </w:r>
          </w:p>
        </w:tc>
        <w:tc>
          <w:tcPr>
            <w:tcW w:w="2532" w:type="dxa"/>
            <w:gridSpan w:val="2"/>
          </w:tcPr>
          <w:p w14:paraId="2C974B12" w14:textId="77777777" w:rsidR="00C02C65" w:rsidRPr="00FB1754" w:rsidRDefault="00C02C65" w:rsidP="00C02C65">
            <w:pPr>
              <w:rPr>
                <w:sz w:val="24"/>
              </w:rPr>
            </w:pPr>
            <w:r w:rsidRPr="00FB1754">
              <w:rPr>
                <w:sz w:val="24"/>
              </w:rPr>
              <w:t xml:space="preserve">Володіння державною </w:t>
            </w:r>
          </w:p>
          <w:p w14:paraId="4327ABFC" w14:textId="77777777" w:rsidR="00C02C65" w:rsidRPr="00FB1754" w:rsidRDefault="00C02C65" w:rsidP="00C02C65">
            <w:pPr>
              <w:rPr>
                <w:sz w:val="24"/>
              </w:rPr>
            </w:pPr>
            <w:r w:rsidRPr="00FB1754">
              <w:rPr>
                <w:sz w:val="24"/>
              </w:rPr>
              <w:t>мовою</w:t>
            </w:r>
          </w:p>
        </w:tc>
        <w:tc>
          <w:tcPr>
            <w:tcW w:w="6700" w:type="dxa"/>
          </w:tcPr>
          <w:p w14:paraId="63FDB019" w14:textId="77777777" w:rsidR="00C02C65" w:rsidRPr="00FB1754" w:rsidRDefault="00C02C65" w:rsidP="00C02C65">
            <w:pPr>
              <w:rPr>
                <w:sz w:val="24"/>
              </w:rPr>
            </w:pPr>
            <w:r w:rsidRPr="00FB1754">
              <w:rPr>
                <w:sz w:val="24"/>
              </w:rPr>
              <w:t>вільне володіння державною мовою</w:t>
            </w:r>
          </w:p>
        </w:tc>
      </w:tr>
      <w:tr w:rsidR="00C02C65" w:rsidRPr="00FB1754" w14:paraId="201CF802" w14:textId="77777777" w:rsidTr="00C02C65">
        <w:tc>
          <w:tcPr>
            <w:tcW w:w="9804" w:type="dxa"/>
            <w:gridSpan w:val="4"/>
            <w:vAlign w:val="center"/>
          </w:tcPr>
          <w:p w14:paraId="03E3B78A" w14:textId="77777777" w:rsidR="00C02C65" w:rsidRPr="008D2A80" w:rsidRDefault="00C02C65" w:rsidP="00C02C65">
            <w:pPr>
              <w:jc w:val="center"/>
              <w:rPr>
                <w:b/>
                <w:sz w:val="24"/>
              </w:rPr>
            </w:pPr>
            <w:r w:rsidRPr="008D2A80">
              <w:rPr>
                <w:b/>
                <w:sz w:val="24"/>
              </w:rPr>
              <w:t>Вимоги до компетентності</w:t>
            </w:r>
          </w:p>
          <w:p w14:paraId="5204E047" w14:textId="77B1C31B" w:rsidR="00C02C65" w:rsidRPr="008D2A80" w:rsidRDefault="00C02C65" w:rsidP="00C02C65">
            <w:pPr>
              <w:jc w:val="center"/>
              <w:rPr>
                <w:b/>
                <w:sz w:val="6"/>
                <w:szCs w:val="6"/>
              </w:rPr>
            </w:pPr>
            <w:r>
              <w:rPr>
                <w:b/>
                <w:sz w:val="6"/>
                <w:szCs w:val="6"/>
              </w:rPr>
              <w:t xml:space="preserve"> </w:t>
            </w:r>
          </w:p>
        </w:tc>
      </w:tr>
      <w:tr w:rsidR="00C02C65" w:rsidRPr="00FB1754" w14:paraId="3FDCFBBB" w14:textId="77777777" w:rsidTr="00C02C65">
        <w:tc>
          <w:tcPr>
            <w:tcW w:w="572" w:type="dxa"/>
          </w:tcPr>
          <w:p w14:paraId="12633401" w14:textId="77777777" w:rsidR="00C02C65" w:rsidRPr="00FB1754" w:rsidRDefault="00C02C65" w:rsidP="00C02C65">
            <w:pPr>
              <w:rPr>
                <w:sz w:val="24"/>
              </w:rPr>
            </w:pPr>
          </w:p>
        </w:tc>
        <w:tc>
          <w:tcPr>
            <w:tcW w:w="2532" w:type="dxa"/>
            <w:gridSpan w:val="2"/>
          </w:tcPr>
          <w:p w14:paraId="51586723" w14:textId="09CA15E8" w:rsidR="00C02C65" w:rsidRPr="005B1AB6" w:rsidRDefault="00C02C65" w:rsidP="00C02C65">
            <w:pPr>
              <w:rPr>
                <w:b/>
                <w:sz w:val="24"/>
              </w:rPr>
            </w:pPr>
            <w:r w:rsidRPr="00B41DF4">
              <w:rPr>
                <w:b/>
                <w:sz w:val="24"/>
              </w:rPr>
              <w:t>Вимога</w:t>
            </w:r>
          </w:p>
        </w:tc>
        <w:tc>
          <w:tcPr>
            <w:tcW w:w="6700" w:type="dxa"/>
          </w:tcPr>
          <w:p w14:paraId="47798FD8" w14:textId="77777777" w:rsidR="00C02C65" w:rsidRPr="008D2A80" w:rsidRDefault="00C02C65" w:rsidP="00C02C65">
            <w:pPr>
              <w:rPr>
                <w:b/>
                <w:sz w:val="24"/>
              </w:rPr>
            </w:pPr>
            <w:r w:rsidRPr="008D2A80">
              <w:rPr>
                <w:b/>
                <w:sz w:val="24"/>
              </w:rPr>
              <w:t>Компоненти вимоги</w:t>
            </w:r>
          </w:p>
          <w:p w14:paraId="1D90320E" w14:textId="77777777" w:rsidR="00C02C65" w:rsidRPr="008D2A80" w:rsidRDefault="00C02C65" w:rsidP="00C02C65">
            <w:pPr>
              <w:rPr>
                <w:b/>
                <w:sz w:val="4"/>
                <w:szCs w:val="4"/>
              </w:rPr>
            </w:pPr>
          </w:p>
        </w:tc>
      </w:tr>
      <w:tr w:rsidR="00C02C65" w:rsidRPr="00FB1754" w14:paraId="2A660972" w14:textId="77777777" w:rsidTr="00C02C65">
        <w:trPr>
          <w:trHeight w:val="144"/>
        </w:trPr>
        <w:tc>
          <w:tcPr>
            <w:tcW w:w="572" w:type="dxa"/>
          </w:tcPr>
          <w:p w14:paraId="1BB21B10" w14:textId="77777777" w:rsidR="00C02C65" w:rsidRPr="005C0408" w:rsidRDefault="00C02C65" w:rsidP="00C02C65">
            <w:pPr>
              <w:jc w:val="center"/>
              <w:rPr>
                <w:sz w:val="24"/>
              </w:rPr>
            </w:pPr>
            <w:r w:rsidRPr="005C0408">
              <w:rPr>
                <w:sz w:val="24"/>
              </w:rPr>
              <w:t>1.</w:t>
            </w:r>
          </w:p>
        </w:tc>
        <w:tc>
          <w:tcPr>
            <w:tcW w:w="2532" w:type="dxa"/>
            <w:gridSpan w:val="2"/>
          </w:tcPr>
          <w:p w14:paraId="1AC4FE65" w14:textId="20FC8417" w:rsidR="00C02C65" w:rsidRPr="007C4729" w:rsidRDefault="00C02C65" w:rsidP="00C02C65">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700" w:type="dxa"/>
          </w:tcPr>
          <w:p w14:paraId="12643748" w14:textId="650A8DAF"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14:paraId="29A97F3A" w14:textId="1C8FD5FC"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14:paraId="6682A524" w14:textId="05F684EB"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14:paraId="412B04DA" w14:textId="44302709" w:rsidR="00C02C65" w:rsidRPr="00331F7F" w:rsidRDefault="00C02C65" w:rsidP="00C02C65">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C02C65" w:rsidRPr="00FB1754" w14:paraId="7813303F" w14:textId="77777777" w:rsidTr="00C02C65">
        <w:trPr>
          <w:trHeight w:val="333"/>
        </w:trPr>
        <w:tc>
          <w:tcPr>
            <w:tcW w:w="572" w:type="dxa"/>
          </w:tcPr>
          <w:p w14:paraId="2785239F" w14:textId="77777777" w:rsidR="00C02C65" w:rsidRPr="005C0408" w:rsidRDefault="00C02C65" w:rsidP="00C02C65">
            <w:pPr>
              <w:jc w:val="center"/>
              <w:rPr>
                <w:sz w:val="24"/>
              </w:rPr>
            </w:pPr>
            <w:r w:rsidRPr="005C0408">
              <w:rPr>
                <w:sz w:val="24"/>
              </w:rPr>
              <w:t>2.</w:t>
            </w:r>
          </w:p>
        </w:tc>
        <w:tc>
          <w:tcPr>
            <w:tcW w:w="2532" w:type="dxa"/>
            <w:gridSpan w:val="2"/>
          </w:tcPr>
          <w:p w14:paraId="39B44FFF" w14:textId="347CB89C" w:rsidR="00C02C65" w:rsidRPr="007C4729" w:rsidRDefault="00C02C65" w:rsidP="00C02C65">
            <w:pPr>
              <w:jc w:val="left"/>
              <w:rPr>
                <w:sz w:val="12"/>
                <w:szCs w:val="12"/>
                <w:highlight w:val="yellow"/>
              </w:rPr>
            </w:pPr>
            <w:r w:rsidRPr="00780709">
              <w:rPr>
                <w:rFonts w:cs="Times New Roman"/>
                <w:sz w:val="24"/>
                <w:szCs w:val="24"/>
              </w:rPr>
              <w:t>Командна робота та взаємодія</w:t>
            </w:r>
          </w:p>
        </w:tc>
        <w:tc>
          <w:tcPr>
            <w:tcW w:w="6700" w:type="dxa"/>
          </w:tcPr>
          <w:p w14:paraId="2FC3016E" w14:textId="510B5535"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відділу</w:t>
            </w:r>
            <w:r w:rsidRPr="00294997">
              <w:rPr>
                <w:rFonts w:cs="Times New Roman"/>
                <w:sz w:val="24"/>
                <w:szCs w:val="24"/>
              </w:rPr>
              <w:t>;</w:t>
            </w:r>
          </w:p>
          <w:p w14:paraId="671A9ABF" w14:textId="1C39B219"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02AF7DAA" w14:textId="70F7E908"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14:paraId="028D0C08" w14:textId="1A908644" w:rsidR="00C02C65" w:rsidRPr="007C4729" w:rsidRDefault="00C02C65" w:rsidP="00C02C65">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C02C65" w:rsidRPr="00FB1754" w14:paraId="40767C09" w14:textId="77777777" w:rsidTr="00C02C65">
        <w:trPr>
          <w:trHeight w:val="1907"/>
        </w:trPr>
        <w:tc>
          <w:tcPr>
            <w:tcW w:w="572" w:type="dxa"/>
          </w:tcPr>
          <w:p w14:paraId="132EDA93" w14:textId="77777777" w:rsidR="00C02C65" w:rsidRPr="005C0408" w:rsidRDefault="00C02C65" w:rsidP="00C02C65">
            <w:pPr>
              <w:jc w:val="center"/>
              <w:rPr>
                <w:sz w:val="24"/>
              </w:rPr>
            </w:pPr>
            <w:r>
              <w:rPr>
                <w:sz w:val="24"/>
              </w:rPr>
              <w:t>3</w:t>
            </w:r>
            <w:r w:rsidRPr="005C0408">
              <w:rPr>
                <w:sz w:val="24"/>
              </w:rPr>
              <w:t>.</w:t>
            </w:r>
          </w:p>
        </w:tc>
        <w:tc>
          <w:tcPr>
            <w:tcW w:w="2532" w:type="dxa"/>
            <w:gridSpan w:val="2"/>
          </w:tcPr>
          <w:p w14:paraId="0784035C" w14:textId="0DA95086" w:rsidR="00C02C65" w:rsidRPr="007C4729" w:rsidRDefault="00C02C65" w:rsidP="00C02C65">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700" w:type="dxa"/>
          </w:tcPr>
          <w:p w14:paraId="3382CC9E" w14:textId="5FA80092"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416CDA1E"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3B1A0E7" w14:textId="6470CC05" w:rsidR="00C02C65" w:rsidRPr="007C4729" w:rsidRDefault="00C02C65" w:rsidP="00C02C65">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C02C65" w:rsidRPr="00FB1754" w14:paraId="5ED3C4FC" w14:textId="77777777" w:rsidTr="00C02C65">
        <w:trPr>
          <w:trHeight w:val="1907"/>
        </w:trPr>
        <w:tc>
          <w:tcPr>
            <w:tcW w:w="572" w:type="dxa"/>
          </w:tcPr>
          <w:p w14:paraId="7CC96B40" w14:textId="084F8E6F" w:rsidR="00C02C65" w:rsidRDefault="00C02C65" w:rsidP="00C02C65">
            <w:pPr>
              <w:jc w:val="center"/>
              <w:rPr>
                <w:sz w:val="24"/>
              </w:rPr>
            </w:pPr>
            <w:r>
              <w:rPr>
                <w:sz w:val="24"/>
              </w:rPr>
              <w:lastRenderedPageBreak/>
              <w:t xml:space="preserve">4 </w:t>
            </w:r>
          </w:p>
        </w:tc>
        <w:tc>
          <w:tcPr>
            <w:tcW w:w="2532" w:type="dxa"/>
            <w:gridSpan w:val="2"/>
          </w:tcPr>
          <w:p w14:paraId="562481FE" w14:textId="75BE9492" w:rsidR="00C02C65" w:rsidRPr="00294997" w:rsidRDefault="00C02C65" w:rsidP="00C02C65">
            <w:pPr>
              <w:jc w:val="left"/>
              <w:rPr>
                <w:rFonts w:cs="Times New Roman"/>
                <w:sz w:val="24"/>
                <w:szCs w:val="24"/>
              </w:rPr>
            </w:pPr>
            <w:r>
              <w:rPr>
                <w:rFonts w:cs="Times New Roman"/>
                <w:sz w:val="24"/>
                <w:szCs w:val="24"/>
              </w:rPr>
              <w:t xml:space="preserve">Цифрова грамотність </w:t>
            </w:r>
          </w:p>
        </w:tc>
        <w:tc>
          <w:tcPr>
            <w:tcW w:w="6700" w:type="dxa"/>
          </w:tcPr>
          <w:p w14:paraId="1E676CDF" w14:textId="1BE1922D"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00C876BD" w14:textId="37B18ACF" w:rsidR="00C02C65" w:rsidRPr="00615248" w:rsidRDefault="00C02C65" w:rsidP="00C02C65">
            <w:pPr>
              <w:tabs>
                <w:tab w:val="left" w:pos="642"/>
                <w:tab w:val="left" w:pos="754"/>
                <w:tab w:val="left" w:pos="78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257FEE54" w14:textId="31270576"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37E6D2CD" w14:textId="410946AD" w:rsidR="00C02C65" w:rsidRPr="00615248" w:rsidRDefault="00C02C65" w:rsidP="00C02C65">
            <w:pPr>
              <w:tabs>
                <w:tab w:val="left" w:pos="642"/>
                <w:tab w:val="left" w:pos="754"/>
                <w:tab w:val="left" w:pos="1037"/>
              </w:tabs>
              <w:ind w:right="125" w:firstLine="142"/>
              <w:rPr>
                <w:sz w:val="24"/>
                <w:szCs w:val="24"/>
                <w:highlight w:val="white"/>
              </w:rPr>
            </w:pPr>
            <w:bookmarkStart w:id="1" w:name="_heading=h.30j0zll" w:colFirst="0" w:colLast="0"/>
            <w:bookmarkEnd w:id="1"/>
            <w:r w:rsidRPr="00615248">
              <w:rPr>
                <w:sz w:val="24"/>
                <w:szCs w:val="24"/>
                <w:highlight w:val="white"/>
              </w:rPr>
              <w:t>-</w:t>
            </w:r>
            <w:r>
              <w:rPr>
                <w:sz w:val="24"/>
                <w:szCs w:val="24"/>
                <w:highlight w:val="white"/>
              </w:rPr>
              <w:t xml:space="preserve"> </w:t>
            </w:r>
            <w:r w:rsidRPr="00615248">
              <w:rPr>
                <w:sz w:val="24"/>
                <w:szCs w:val="24"/>
                <w:highlight w:val="white"/>
              </w:rPr>
              <w:t>здатність уникати небезпек в цифровому середовищі, захищати особисті та конфіденційні дані;</w:t>
            </w:r>
          </w:p>
          <w:p w14:paraId="2D31CFFD" w14:textId="1BE92747"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19BBDF8" w14:textId="5A948CC2" w:rsidR="00C02C65" w:rsidRPr="00615248" w:rsidRDefault="00C02C65" w:rsidP="00C02C65">
            <w:pPr>
              <w:tabs>
                <w:tab w:val="left" w:pos="642"/>
              </w:tabs>
              <w:ind w:firstLine="142"/>
              <w:rPr>
                <w:rFonts w:cs="Times New Roman"/>
                <w:sz w:val="24"/>
                <w:szCs w:val="24"/>
              </w:rPr>
            </w:pPr>
            <w:r w:rsidRPr="00615248">
              <w:rPr>
                <w:sz w:val="24"/>
                <w:szCs w:val="24"/>
                <w:highlight w:val="white"/>
              </w:rPr>
              <w:t>-</w:t>
            </w:r>
            <w:r>
              <w:rPr>
                <w:sz w:val="24"/>
                <w:szCs w:val="24"/>
                <w:highlight w:val="white"/>
              </w:rPr>
              <w:t xml:space="preserve"> </w:t>
            </w:r>
            <w:r w:rsidRPr="00615248">
              <w:rPr>
                <w:sz w:val="24"/>
                <w:szCs w:val="24"/>
                <w:highlight w:val="white"/>
              </w:rPr>
              <w:t>здатність використовувати відкриті цифрові ресурси для власного професійного розвитку</w:t>
            </w:r>
          </w:p>
        </w:tc>
      </w:tr>
      <w:tr w:rsidR="00C02C65" w:rsidRPr="00FB1754" w14:paraId="6CFDFB8D" w14:textId="77777777" w:rsidTr="00C02C65">
        <w:tc>
          <w:tcPr>
            <w:tcW w:w="9804" w:type="dxa"/>
            <w:gridSpan w:val="4"/>
          </w:tcPr>
          <w:p w14:paraId="1C812F00" w14:textId="77777777" w:rsidR="00C02C65" w:rsidRPr="00102CC7" w:rsidRDefault="00C02C65" w:rsidP="00C02C65">
            <w:pPr>
              <w:jc w:val="center"/>
              <w:rPr>
                <w:b/>
                <w:sz w:val="4"/>
                <w:szCs w:val="4"/>
                <w:highlight w:val="yellow"/>
              </w:rPr>
            </w:pPr>
          </w:p>
          <w:p w14:paraId="22F4E2A7" w14:textId="77777777" w:rsidR="00C02C65" w:rsidRPr="00102CC7" w:rsidRDefault="00C02C65" w:rsidP="00C02C65">
            <w:pPr>
              <w:jc w:val="center"/>
              <w:rPr>
                <w:b/>
                <w:sz w:val="24"/>
              </w:rPr>
            </w:pPr>
            <w:r w:rsidRPr="00102CC7">
              <w:rPr>
                <w:b/>
                <w:sz w:val="24"/>
              </w:rPr>
              <w:t>Професійні знання</w:t>
            </w:r>
          </w:p>
          <w:p w14:paraId="27A7D75E" w14:textId="77777777" w:rsidR="00C02C65" w:rsidRPr="00102CC7" w:rsidRDefault="00C02C65" w:rsidP="00C02C65">
            <w:pPr>
              <w:rPr>
                <w:sz w:val="4"/>
                <w:szCs w:val="4"/>
                <w:highlight w:val="yellow"/>
              </w:rPr>
            </w:pPr>
          </w:p>
        </w:tc>
      </w:tr>
      <w:tr w:rsidR="00C02C65" w:rsidRPr="00FB1754" w14:paraId="4D0E0100" w14:textId="77777777" w:rsidTr="00C02C65">
        <w:trPr>
          <w:trHeight w:val="120"/>
        </w:trPr>
        <w:tc>
          <w:tcPr>
            <w:tcW w:w="572" w:type="dxa"/>
          </w:tcPr>
          <w:p w14:paraId="66A83839" w14:textId="77777777" w:rsidR="00C02C65" w:rsidRPr="00FB1754" w:rsidRDefault="00C02C65" w:rsidP="00C02C65">
            <w:pPr>
              <w:jc w:val="center"/>
              <w:rPr>
                <w:b/>
                <w:sz w:val="12"/>
                <w:szCs w:val="12"/>
              </w:rPr>
            </w:pPr>
          </w:p>
          <w:p w14:paraId="32D790C6" w14:textId="77777777" w:rsidR="00C02C65" w:rsidRPr="00FB1754" w:rsidRDefault="00C02C65" w:rsidP="00C02C65">
            <w:pPr>
              <w:rPr>
                <w:b/>
                <w:sz w:val="12"/>
                <w:szCs w:val="12"/>
              </w:rPr>
            </w:pPr>
          </w:p>
        </w:tc>
        <w:tc>
          <w:tcPr>
            <w:tcW w:w="2532" w:type="dxa"/>
            <w:gridSpan w:val="2"/>
          </w:tcPr>
          <w:p w14:paraId="12D9C43D" w14:textId="77777777" w:rsidR="00C02C65" w:rsidRPr="00102CC7" w:rsidRDefault="00C02C65" w:rsidP="00C02C65">
            <w:pPr>
              <w:jc w:val="left"/>
              <w:rPr>
                <w:b/>
                <w:sz w:val="24"/>
              </w:rPr>
            </w:pPr>
            <w:r w:rsidRPr="00102CC7">
              <w:rPr>
                <w:b/>
                <w:sz w:val="24"/>
              </w:rPr>
              <w:t>Вимога</w:t>
            </w:r>
          </w:p>
        </w:tc>
        <w:tc>
          <w:tcPr>
            <w:tcW w:w="6700" w:type="dxa"/>
          </w:tcPr>
          <w:p w14:paraId="004E0B23" w14:textId="5FF702A1" w:rsidR="00C02C65" w:rsidRPr="00102CC7" w:rsidRDefault="00C02C65" w:rsidP="00C02C65">
            <w:pPr>
              <w:rPr>
                <w:b/>
                <w:sz w:val="24"/>
              </w:rPr>
            </w:pPr>
            <w:r w:rsidRPr="00102CC7">
              <w:rPr>
                <w:b/>
                <w:sz w:val="24"/>
              </w:rPr>
              <w:t>Компоненти вимоги</w:t>
            </w:r>
          </w:p>
        </w:tc>
      </w:tr>
      <w:tr w:rsidR="00C02C65" w:rsidRPr="00FB1754" w14:paraId="18ED1A84" w14:textId="77777777" w:rsidTr="00C02C65">
        <w:trPr>
          <w:trHeight w:val="1278"/>
        </w:trPr>
        <w:tc>
          <w:tcPr>
            <w:tcW w:w="572" w:type="dxa"/>
          </w:tcPr>
          <w:p w14:paraId="2D493B30" w14:textId="77777777" w:rsidR="00C02C65" w:rsidRPr="00FB1754" w:rsidRDefault="00C02C65" w:rsidP="00C02C65">
            <w:pPr>
              <w:jc w:val="center"/>
              <w:rPr>
                <w:sz w:val="24"/>
              </w:rPr>
            </w:pPr>
            <w:r w:rsidRPr="00FB1754">
              <w:rPr>
                <w:sz w:val="24"/>
              </w:rPr>
              <w:t>1</w:t>
            </w:r>
            <w:r>
              <w:rPr>
                <w:sz w:val="24"/>
              </w:rPr>
              <w:t>.</w:t>
            </w:r>
          </w:p>
        </w:tc>
        <w:tc>
          <w:tcPr>
            <w:tcW w:w="2532" w:type="dxa"/>
            <w:gridSpan w:val="2"/>
            <w:shd w:val="clear" w:color="auto" w:fill="auto"/>
          </w:tcPr>
          <w:p w14:paraId="6D706EA9" w14:textId="77777777" w:rsidR="00C02C65" w:rsidRPr="00331F7F" w:rsidRDefault="00C02C65" w:rsidP="00C02C65">
            <w:pPr>
              <w:jc w:val="left"/>
              <w:rPr>
                <w:sz w:val="24"/>
              </w:rPr>
            </w:pPr>
            <w:r w:rsidRPr="00331F7F">
              <w:rPr>
                <w:sz w:val="24"/>
              </w:rPr>
              <w:t>Знання законодавства</w:t>
            </w:r>
          </w:p>
        </w:tc>
        <w:tc>
          <w:tcPr>
            <w:tcW w:w="6700" w:type="dxa"/>
            <w:shd w:val="clear" w:color="auto" w:fill="auto"/>
          </w:tcPr>
          <w:p w14:paraId="0C7A607D" w14:textId="4DD46391"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eastAsia="Times New Roman" w:hAnsi="Times New Roman" w:cs="Times New Roman"/>
                <w:sz w:val="24"/>
                <w:szCs w:val="24"/>
                <w:u w:val="single"/>
                <w:lang w:eastAsia="ru-RU"/>
              </w:rPr>
              <w:t xml:space="preserve">Знання </w:t>
            </w:r>
            <w:r w:rsidRPr="00046C03">
              <w:rPr>
                <w:rFonts w:ascii="Times New Roman" w:eastAsia="Times New Roman" w:hAnsi="Times New Roman" w:cs="Times New Roman"/>
                <w:sz w:val="24"/>
                <w:szCs w:val="24"/>
                <w:lang w:eastAsia="ru-RU"/>
              </w:rPr>
              <w:t> </w:t>
            </w:r>
          </w:p>
          <w:p w14:paraId="72A2B883" w14:textId="5326A450"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szCs w:val="24"/>
              </w:rPr>
              <w:t>- Конституції України;</w:t>
            </w:r>
          </w:p>
          <w:p w14:paraId="00A55FEA" w14:textId="77777777"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rPr>
            </w:pPr>
            <w:r w:rsidRPr="00046C03">
              <w:rPr>
                <w:rFonts w:ascii="Times New Roman" w:hAnsi="Times New Roman" w:cs="Times New Roman"/>
                <w:sz w:val="24"/>
              </w:rPr>
              <w:t>-</w:t>
            </w:r>
            <w:r w:rsidRPr="00046C03">
              <w:rPr>
                <w:rFonts w:ascii="Times New Roman" w:hAnsi="Times New Roman" w:cs="Times New Roman"/>
                <w:lang w:val="en-US"/>
              </w:rPr>
              <w:t> </w:t>
            </w:r>
            <w:r w:rsidRPr="00046C03">
              <w:rPr>
                <w:rFonts w:ascii="Times New Roman" w:hAnsi="Times New Roman" w:cs="Times New Roman"/>
                <w:sz w:val="24"/>
              </w:rPr>
              <w:t>Закону України «Про державну службу»;</w:t>
            </w:r>
          </w:p>
          <w:p w14:paraId="399EB75C" w14:textId="31187370"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lang w:val="ru-RU"/>
              </w:rPr>
              <w:t>-</w:t>
            </w:r>
            <w:r w:rsidRPr="00046C03">
              <w:rPr>
                <w:rFonts w:ascii="Times New Roman" w:hAnsi="Times New Roman" w:cs="Times New Roman"/>
                <w:sz w:val="24"/>
                <w:lang w:val="en-US"/>
              </w:rPr>
              <w:t> </w:t>
            </w:r>
            <w:r w:rsidRPr="00046C03">
              <w:rPr>
                <w:rFonts w:ascii="Times New Roman" w:hAnsi="Times New Roman" w:cs="Times New Roman"/>
                <w:sz w:val="24"/>
              </w:rPr>
              <w:t>Закону України «Про запобігання корупції» та іншого законодавства.</w:t>
            </w:r>
          </w:p>
        </w:tc>
      </w:tr>
      <w:tr w:rsidR="009B206D" w:rsidRPr="00FB1754" w14:paraId="7F952465" w14:textId="77777777" w:rsidTr="00C02C65">
        <w:trPr>
          <w:trHeight w:val="699"/>
        </w:trPr>
        <w:tc>
          <w:tcPr>
            <w:tcW w:w="572" w:type="dxa"/>
          </w:tcPr>
          <w:p w14:paraId="5B1F087A" w14:textId="77777777" w:rsidR="009B206D" w:rsidRPr="00FB1754" w:rsidRDefault="009B206D" w:rsidP="009B206D">
            <w:pPr>
              <w:jc w:val="center"/>
              <w:rPr>
                <w:sz w:val="24"/>
              </w:rPr>
            </w:pPr>
            <w:r>
              <w:rPr>
                <w:sz w:val="24"/>
              </w:rPr>
              <w:t>2.</w:t>
            </w:r>
          </w:p>
        </w:tc>
        <w:tc>
          <w:tcPr>
            <w:tcW w:w="2532" w:type="dxa"/>
            <w:gridSpan w:val="2"/>
            <w:shd w:val="clear" w:color="auto" w:fill="auto"/>
          </w:tcPr>
          <w:p w14:paraId="509517F2" w14:textId="77777777" w:rsidR="009B206D" w:rsidRPr="00331F7F" w:rsidRDefault="009B206D" w:rsidP="009B206D">
            <w:pPr>
              <w:jc w:val="left"/>
              <w:rPr>
                <w:sz w:val="24"/>
              </w:rPr>
            </w:pPr>
            <w:r w:rsidRPr="00331F7F">
              <w:rPr>
                <w:sz w:val="24"/>
              </w:rPr>
              <w:t xml:space="preserve">Знання законодавства </w:t>
            </w:r>
          </w:p>
          <w:p w14:paraId="02C480C6" w14:textId="77777777" w:rsidR="009B206D" w:rsidRPr="00331F7F" w:rsidRDefault="009B206D" w:rsidP="009B206D">
            <w:pPr>
              <w:jc w:val="left"/>
              <w:rPr>
                <w:sz w:val="24"/>
              </w:rPr>
            </w:pPr>
            <w:r w:rsidRPr="00331F7F">
              <w:rPr>
                <w:sz w:val="24"/>
              </w:rPr>
              <w:t>у сфері</w:t>
            </w:r>
          </w:p>
        </w:tc>
        <w:tc>
          <w:tcPr>
            <w:tcW w:w="6700" w:type="dxa"/>
            <w:shd w:val="clear" w:color="auto" w:fill="auto"/>
          </w:tcPr>
          <w:p w14:paraId="1020CCCC" w14:textId="11A0171A" w:rsidR="009B206D" w:rsidRPr="0030176C" w:rsidRDefault="009B0CDF" w:rsidP="0030176C">
            <w:pPr>
              <w:rPr>
                <w:rFonts w:cs="Times New Roman"/>
                <w:sz w:val="24"/>
                <w:szCs w:val="24"/>
                <w:u w:val="single"/>
              </w:rPr>
            </w:pPr>
            <w:r w:rsidRPr="009B0CDF">
              <w:rPr>
                <w:rFonts w:cs="Times New Roman"/>
                <w:sz w:val="24"/>
                <w:szCs w:val="24"/>
                <w:u w:val="single"/>
              </w:rPr>
              <w:t>Знання</w:t>
            </w:r>
          </w:p>
          <w:p w14:paraId="64FCFDAA" w14:textId="52D7CDD9" w:rsidR="0030176C" w:rsidRDefault="009B206D" w:rsidP="0030176C">
            <w:pPr>
              <w:tabs>
                <w:tab w:val="left" w:pos="412"/>
              </w:tabs>
              <w:ind w:left="95" w:right="120" w:hanging="95"/>
              <w:rPr>
                <w:rFonts w:eastAsia="Arial Unicode MS" w:cs="Times New Roman"/>
                <w:sz w:val="24"/>
                <w:szCs w:val="24"/>
              </w:rPr>
            </w:pPr>
            <w:r w:rsidRPr="00E01BFD">
              <w:rPr>
                <w:rFonts w:cs="Times New Roman"/>
                <w:sz w:val="24"/>
                <w:szCs w:val="24"/>
              </w:rPr>
              <w:t>-</w:t>
            </w:r>
            <w:r w:rsidR="0030176C" w:rsidRPr="00331F7F">
              <w:rPr>
                <w:rFonts w:eastAsia="Arial Unicode MS" w:cs="Times New Roman"/>
                <w:sz w:val="24"/>
                <w:szCs w:val="24"/>
              </w:rPr>
              <w:t xml:space="preserve"> </w:t>
            </w:r>
            <w:r w:rsidR="0030176C" w:rsidRPr="00331F7F">
              <w:rPr>
                <w:rFonts w:eastAsia="Arial Unicode MS" w:cs="Times New Roman"/>
                <w:sz w:val="24"/>
                <w:szCs w:val="24"/>
              </w:rPr>
              <w:t xml:space="preserve">Закону України «Про прокуратуру»; </w:t>
            </w:r>
          </w:p>
          <w:p w14:paraId="589C3F71" w14:textId="77777777" w:rsidR="0030176C" w:rsidRDefault="0030176C" w:rsidP="0030176C">
            <w:pPr>
              <w:tabs>
                <w:tab w:val="left" w:pos="412"/>
              </w:tabs>
              <w:ind w:left="95" w:right="120" w:hanging="95"/>
              <w:rPr>
                <w:rFonts w:cs="Times New Roman"/>
                <w:sz w:val="24"/>
                <w:szCs w:val="24"/>
              </w:rPr>
            </w:pPr>
            <w:r w:rsidRPr="00331F7F">
              <w:rPr>
                <w:rFonts w:eastAsia="Arial Unicode MS" w:cs="Times New Roman"/>
                <w:sz w:val="24"/>
                <w:szCs w:val="24"/>
                <w:lang w:val="ru-RU"/>
              </w:rPr>
              <w:t>-</w:t>
            </w:r>
            <w:r>
              <w:rPr>
                <w:rFonts w:eastAsia="Arial Unicode MS" w:cs="Times New Roman"/>
                <w:sz w:val="24"/>
                <w:szCs w:val="24"/>
                <w:lang w:val="en-US"/>
              </w:rPr>
              <w:t> </w:t>
            </w:r>
            <w:r w:rsidRPr="00331F7F">
              <w:rPr>
                <w:rFonts w:cs="Times New Roman"/>
                <w:sz w:val="24"/>
                <w:szCs w:val="24"/>
              </w:rPr>
              <w:t xml:space="preserve">Закону України «Про звернення громадян»; </w:t>
            </w:r>
          </w:p>
          <w:p w14:paraId="7D3AC656" w14:textId="77777777" w:rsidR="0030176C" w:rsidRDefault="0030176C" w:rsidP="0030176C">
            <w:pPr>
              <w:tabs>
                <w:tab w:val="left" w:pos="412"/>
              </w:tabs>
              <w:ind w:left="95" w:right="120" w:hanging="95"/>
              <w:rPr>
                <w:rFonts w:cs="Times New Roman"/>
                <w:sz w:val="24"/>
                <w:szCs w:val="24"/>
              </w:rPr>
            </w:pPr>
            <w:r w:rsidRPr="00331F7F">
              <w:rPr>
                <w:rFonts w:cs="Times New Roman"/>
                <w:sz w:val="24"/>
                <w:szCs w:val="24"/>
                <w:lang w:val="ru-RU"/>
              </w:rPr>
              <w:t>-</w:t>
            </w:r>
            <w:r>
              <w:rPr>
                <w:rFonts w:cs="Times New Roman"/>
                <w:sz w:val="24"/>
                <w:szCs w:val="24"/>
                <w:lang w:val="en-US"/>
              </w:rPr>
              <w:t> </w:t>
            </w:r>
            <w:r w:rsidRPr="00331F7F">
              <w:rPr>
                <w:rFonts w:cs="Times New Roman"/>
                <w:sz w:val="24"/>
                <w:szCs w:val="24"/>
              </w:rPr>
              <w:t>Закону України «Про доступ до публічної інформації»;</w:t>
            </w:r>
          </w:p>
          <w:p w14:paraId="463DE6BD" w14:textId="742F1942" w:rsidR="0030176C" w:rsidRDefault="009B206D" w:rsidP="0030176C">
            <w:pPr>
              <w:tabs>
                <w:tab w:val="left" w:pos="412"/>
              </w:tabs>
              <w:ind w:left="95" w:right="120" w:hanging="95"/>
              <w:rPr>
                <w:rFonts w:cs="Times New Roman"/>
                <w:bCs/>
                <w:sz w:val="24"/>
                <w:szCs w:val="24"/>
                <w:shd w:val="clear" w:color="auto" w:fill="FFFFFF"/>
              </w:rPr>
            </w:pPr>
            <w:r w:rsidRPr="00E01BFD">
              <w:rPr>
                <w:rFonts w:eastAsia="Times New Roman" w:cs="Times New Roman"/>
                <w:color w:val="000000"/>
                <w:sz w:val="24"/>
                <w:szCs w:val="24"/>
                <w:lang w:eastAsia="uk-UA"/>
              </w:rPr>
              <w:t>-</w:t>
            </w:r>
            <w:bookmarkStart w:id="2" w:name="_GoBack"/>
            <w:bookmarkEnd w:id="2"/>
            <w:r w:rsidR="0030176C" w:rsidRPr="00331F7F">
              <w:rPr>
                <w:rFonts w:eastAsia="Times New Roman" w:cs="Times New Roman"/>
                <w:sz w:val="24"/>
                <w:szCs w:val="24"/>
                <w:lang w:eastAsia="ru-RU"/>
              </w:rPr>
              <w:t>Тимчасової інструкції з діловодства в органах прокуратури України, затвердженої наказом Генеральної прокуратури України від 12.02.2019 № 27</w:t>
            </w:r>
            <w:r w:rsidR="0030176C">
              <w:rPr>
                <w:rFonts w:eastAsia="Times New Roman" w:cs="Times New Roman"/>
                <w:sz w:val="24"/>
                <w:szCs w:val="24"/>
                <w:lang w:eastAsia="ru-RU"/>
              </w:rPr>
              <w:t xml:space="preserve"> (зі змінами)</w:t>
            </w:r>
            <w:r w:rsidR="0030176C" w:rsidRPr="00331F7F">
              <w:rPr>
                <w:rFonts w:cs="Times New Roman"/>
                <w:bCs/>
                <w:sz w:val="24"/>
                <w:szCs w:val="24"/>
                <w:shd w:val="clear" w:color="auto" w:fill="FFFFFF"/>
              </w:rPr>
              <w:t>;</w:t>
            </w:r>
          </w:p>
          <w:p w14:paraId="0F6A6443" w14:textId="18EFE557" w:rsidR="003454D4" w:rsidRPr="005203C0" w:rsidRDefault="0030176C" w:rsidP="0030176C">
            <w:pPr>
              <w:rPr>
                <w:rFonts w:cs="Times New Roman"/>
                <w:sz w:val="24"/>
                <w:szCs w:val="24"/>
              </w:rPr>
            </w:pPr>
            <w:r w:rsidRPr="005203C0">
              <w:rPr>
                <w:rFonts w:cs="Times New Roman"/>
                <w:sz w:val="24"/>
                <w:szCs w:val="24"/>
              </w:rPr>
              <w:t xml:space="preserve"> </w:t>
            </w:r>
          </w:p>
        </w:tc>
      </w:tr>
    </w:tbl>
    <w:p w14:paraId="17A23C07" w14:textId="77777777" w:rsidR="00415BAD" w:rsidRPr="00CE0C8F" w:rsidRDefault="00415BAD" w:rsidP="00B96750">
      <w:pPr>
        <w:rPr>
          <w:sz w:val="2"/>
          <w:szCs w:val="2"/>
        </w:rPr>
      </w:pPr>
    </w:p>
    <w:sectPr w:rsidR="00415BAD" w:rsidRPr="00CE0C8F" w:rsidSect="00A37BC4">
      <w:headerReference w:type="default" r:id="rId7"/>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1D55" w14:textId="77777777" w:rsidR="001D3D6F" w:rsidRDefault="001D3D6F">
      <w:r>
        <w:separator/>
      </w:r>
    </w:p>
  </w:endnote>
  <w:endnote w:type="continuationSeparator" w:id="0">
    <w:p w14:paraId="4E3322BF" w14:textId="77777777" w:rsidR="001D3D6F" w:rsidRDefault="001D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8A38" w14:textId="77777777" w:rsidR="001D3D6F" w:rsidRDefault="001D3D6F">
      <w:r>
        <w:separator/>
      </w:r>
    </w:p>
  </w:footnote>
  <w:footnote w:type="continuationSeparator" w:id="0">
    <w:p w14:paraId="69F0B45B" w14:textId="77777777" w:rsidR="001D3D6F" w:rsidRDefault="001D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3053E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BF5749A"/>
    <w:multiLevelType w:val="hybridMultilevel"/>
    <w:tmpl w:val="439AD4BA"/>
    <w:lvl w:ilvl="0" w:tplc="B8F4E6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07F32"/>
    <w:multiLevelType w:val="hybridMultilevel"/>
    <w:tmpl w:val="D36C7644"/>
    <w:lvl w:ilvl="0" w:tplc="8752DB7C">
      <w:numFmt w:val="bullet"/>
      <w:lvlText w:val="-"/>
      <w:lvlJc w:val="left"/>
      <w:pPr>
        <w:ind w:left="785"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0"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6"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8"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2"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9"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0"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6"/>
  </w:num>
  <w:num w:numId="4">
    <w:abstractNumId w:val="27"/>
  </w:num>
  <w:num w:numId="5">
    <w:abstractNumId w:val="11"/>
  </w:num>
  <w:num w:numId="6">
    <w:abstractNumId w:val="12"/>
  </w:num>
  <w:num w:numId="7">
    <w:abstractNumId w:val="22"/>
  </w:num>
  <w:num w:numId="8">
    <w:abstractNumId w:val="30"/>
  </w:num>
  <w:num w:numId="9">
    <w:abstractNumId w:val="18"/>
  </w:num>
  <w:num w:numId="10">
    <w:abstractNumId w:val="13"/>
  </w:num>
  <w:num w:numId="11">
    <w:abstractNumId w:val="28"/>
  </w:num>
  <w:num w:numId="12">
    <w:abstractNumId w:val="5"/>
  </w:num>
  <w:num w:numId="13">
    <w:abstractNumId w:val="3"/>
  </w:num>
  <w:num w:numId="14">
    <w:abstractNumId w:val="9"/>
  </w:num>
  <w:num w:numId="15">
    <w:abstractNumId w:val="20"/>
  </w:num>
  <w:num w:numId="16">
    <w:abstractNumId w:val="25"/>
  </w:num>
  <w:num w:numId="17">
    <w:abstractNumId w:val="16"/>
  </w:num>
  <w:num w:numId="18">
    <w:abstractNumId w:val="0"/>
  </w:num>
  <w:num w:numId="19">
    <w:abstractNumId w:val="26"/>
  </w:num>
  <w:num w:numId="20">
    <w:abstractNumId w:val="7"/>
  </w:num>
  <w:num w:numId="21">
    <w:abstractNumId w:val="14"/>
  </w:num>
  <w:num w:numId="22">
    <w:abstractNumId w:val="24"/>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31"/>
  </w:num>
  <w:num w:numId="28">
    <w:abstractNumId w:val="17"/>
  </w:num>
  <w:num w:numId="29">
    <w:abstractNumId w:val="1"/>
  </w:num>
  <w:num w:numId="30">
    <w:abstractNumId w:val="8"/>
  </w:num>
  <w:num w:numId="31">
    <w:abstractNumId w:val="19"/>
  </w:num>
  <w:num w:numId="32">
    <w:abstractNumId w:val="19"/>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978E8"/>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3D6F"/>
    <w:rsid w:val="001D4E6D"/>
    <w:rsid w:val="001D6D6D"/>
    <w:rsid w:val="001E1E0B"/>
    <w:rsid w:val="001E2FF5"/>
    <w:rsid w:val="001F026C"/>
    <w:rsid w:val="001F603F"/>
    <w:rsid w:val="00200B45"/>
    <w:rsid w:val="0021268E"/>
    <w:rsid w:val="00225630"/>
    <w:rsid w:val="002320C7"/>
    <w:rsid w:val="002324B6"/>
    <w:rsid w:val="0023383E"/>
    <w:rsid w:val="00235015"/>
    <w:rsid w:val="0025408A"/>
    <w:rsid w:val="0027544A"/>
    <w:rsid w:val="002A45BB"/>
    <w:rsid w:val="002B0234"/>
    <w:rsid w:val="002C6E73"/>
    <w:rsid w:val="0030176C"/>
    <w:rsid w:val="003053E0"/>
    <w:rsid w:val="00310653"/>
    <w:rsid w:val="00321539"/>
    <w:rsid w:val="00331F7F"/>
    <w:rsid w:val="00334ED8"/>
    <w:rsid w:val="003451DF"/>
    <w:rsid w:val="003454D4"/>
    <w:rsid w:val="003676F5"/>
    <w:rsid w:val="00377D2E"/>
    <w:rsid w:val="00387F76"/>
    <w:rsid w:val="003C16B6"/>
    <w:rsid w:val="003D24DF"/>
    <w:rsid w:val="003D34C2"/>
    <w:rsid w:val="003F18F7"/>
    <w:rsid w:val="003F4367"/>
    <w:rsid w:val="00415BAD"/>
    <w:rsid w:val="00417C11"/>
    <w:rsid w:val="0042708C"/>
    <w:rsid w:val="00432A05"/>
    <w:rsid w:val="004336FA"/>
    <w:rsid w:val="00451E16"/>
    <w:rsid w:val="00451E67"/>
    <w:rsid w:val="0045312E"/>
    <w:rsid w:val="004774CD"/>
    <w:rsid w:val="0049629B"/>
    <w:rsid w:val="004A4354"/>
    <w:rsid w:val="004A4BC6"/>
    <w:rsid w:val="004A5D03"/>
    <w:rsid w:val="004B35BC"/>
    <w:rsid w:val="004D3E16"/>
    <w:rsid w:val="004D4EA2"/>
    <w:rsid w:val="004D7D5C"/>
    <w:rsid w:val="004E38A1"/>
    <w:rsid w:val="004E643E"/>
    <w:rsid w:val="004E7BED"/>
    <w:rsid w:val="00500F51"/>
    <w:rsid w:val="00503386"/>
    <w:rsid w:val="005203C0"/>
    <w:rsid w:val="005224A2"/>
    <w:rsid w:val="005248AF"/>
    <w:rsid w:val="00526D89"/>
    <w:rsid w:val="00530ACC"/>
    <w:rsid w:val="00564C90"/>
    <w:rsid w:val="0056763B"/>
    <w:rsid w:val="00574624"/>
    <w:rsid w:val="005A2CB5"/>
    <w:rsid w:val="005A772C"/>
    <w:rsid w:val="005B1AB6"/>
    <w:rsid w:val="005B2D98"/>
    <w:rsid w:val="005C0408"/>
    <w:rsid w:val="005E5D48"/>
    <w:rsid w:val="00615248"/>
    <w:rsid w:val="006226AF"/>
    <w:rsid w:val="00637AB2"/>
    <w:rsid w:val="006467B3"/>
    <w:rsid w:val="00685B53"/>
    <w:rsid w:val="006A7CB5"/>
    <w:rsid w:val="006B6B9E"/>
    <w:rsid w:val="006B6FA7"/>
    <w:rsid w:val="006F797B"/>
    <w:rsid w:val="007176CC"/>
    <w:rsid w:val="00727AF8"/>
    <w:rsid w:val="00735EE1"/>
    <w:rsid w:val="00741D86"/>
    <w:rsid w:val="00755D1C"/>
    <w:rsid w:val="00762DB0"/>
    <w:rsid w:val="00770170"/>
    <w:rsid w:val="00777899"/>
    <w:rsid w:val="00797F20"/>
    <w:rsid w:val="007A52FB"/>
    <w:rsid w:val="007B5382"/>
    <w:rsid w:val="007C4729"/>
    <w:rsid w:val="007F310C"/>
    <w:rsid w:val="007F6942"/>
    <w:rsid w:val="00801508"/>
    <w:rsid w:val="00806735"/>
    <w:rsid w:val="00825D78"/>
    <w:rsid w:val="00850AE4"/>
    <w:rsid w:val="00865D96"/>
    <w:rsid w:val="00870976"/>
    <w:rsid w:val="00871529"/>
    <w:rsid w:val="00873AE4"/>
    <w:rsid w:val="00886392"/>
    <w:rsid w:val="008A04BD"/>
    <w:rsid w:val="008A2CA0"/>
    <w:rsid w:val="008C43AB"/>
    <w:rsid w:val="008D2A80"/>
    <w:rsid w:val="008E329A"/>
    <w:rsid w:val="009038DE"/>
    <w:rsid w:val="0091437A"/>
    <w:rsid w:val="0092191F"/>
    <w:rsid w:val="009339E3"/>
    <w:rsid w:val="009341FE"/>
    <w:rsid w:val="009654F9"/>
    <w:rsid w:val="009751A0"/>
    <w:rsid w:val="0099597B"/>
    <w:rsid w:val="009B0CDF"/>
    <w:rsid w:val="009B206D"/>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E7256"/>
    <w:rsid w:val="00AF4900"/>
    <w:rsid w:val="00B04C67"/>
    <w:rsid w:val="00B0741D"/>
    <w:rsid w:val="00B16393"/>
    <w:rsid w:val="00B16440"/>
    <w:rsid w:val="00B2620B"/>
    <w:rsid w:val="00B36EF2"/>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3CE6"/>
    <w:rsid w:val="00BE5C2B"/>
    <w:rsid w:val="00C00481"/>
    <w:rsid w:val="00C02C65"/>
    <w:rsid w:val="00C0504C"/>
    <w:rsid w:val="00C334BE"/>
    <w:rsid w:val="00C66334"/>
    <w:rsid w:val="00C73AC8"/>
    <w:rsid w:val="00C857E9"/>
    <w:rsid w:val="00CB21A9"/>
    <w:rsid w:val="00CB4055"/>
    <w:rsid w:val="00CC6261"/>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422C"/>
    <w:rsid w:val="00DF689F"/>
    <w:rsid w:val="00E008B1"/>
    <w:rsid w:val="00E070E6"/>
    <w:rsid w:val="00E15459"/>
    <w:rsid w:val="00E16CA6"/>
    <w:rsid w:val="00E16D30"/>
    <w:rsid w:val="00E32975"/>
    <w:rsid w:val="00E36F09"/>
    <w:rsid w:val="00E61F12"/>
    <w:rsid w:val="00E66C65"/>
    <w:rsid w:val="00E71A4D"/>
    <w:rsid w:val="00E762E2"/>
    <w:rsid w:val="00E771F2"/>
    <w:rsid w:val="00EA39E7"/>
    <w:rsid w:val="00EA4B96"/>
    <w:rsid w:val="00EB7E8A"/>
    <w:rsid w:val="00EC5DF7"/>
    <w:rsid w:val="00EC729C"/>
    <w:rsid w:val="00ED5355"/>
    <w:rsid w:val="00ED7A8D"/>
    <w:rsid w:val="00EE147C"/>
    <w:rsid w:val="00EE4306"/>
    <w:rsid w:val="00EE6055"/>
    <w:rsid w:val="00EE7EE1"/>
    <w:rsid w:val="00F00FE9"/>
    <w:rsid w:val="00F10396"/>
    <w:rsid w:val="00F12D65"/>
    <w:rsid w:val="00F24DD7"/>
    <w:rsid w:val="00F26421"/>
    <w:rsid w:val="00F31C94"/>
    <w:rsid w:val="00F34466"/>
    <w:rsid w:val="00F40720"/>
    <w:rsid w:val="00F40F12"/>
    <w:rsid w:val="00F42651"/>
    <w:rsid w:val="00F56C15"/>
    <w:rsid w:val="00F93807"/>
    <w:rsid w:val="00FA0C87"/>
    <w:rsid w:val="00FB4D41"/>
    <w:rsid w:val="00FB7BC0"/>
    <w:rsid w:val="00FC1A6E"/>
    <w:rsid w:val="00FC1F4A"/>
    <w:rsid w:val="00FC2BC9"/>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7FAFC97D-39CC-4359-9937-797D1B30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e">
    <w:name w:val="Unresolved Mention"/>
    <w:basedOn w:val="a0"/>
    <w:uiPriority w:val="99"/>
    <w:semiHidden/>
    <w:unhideWhenUsed/>
    <w:rsid w:val="00F31C94"/>
    <w:rPr>
      <w:color w:val="605E5C"/>
      <w:shd w:val="clear" w:color="auto" w:fill="E1DFDD"/>
    </w:rPr>
  </w:style>
  <w:style w:type="paragraph" w:customStyle="1" w:styleId="af">
    <w:name w:val="Назва документа"/>
    <w:basedOn w:val="a"/>
    <w:next w:val="af0"/>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0">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1">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973</Words>
  <Characters>5547</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cp:lastModifiedBy>Інна Гайдара</cp:lastModifiedBy>
  <cp:revision>17</cp:revision>
  <cp:lastPrinted>2024-01-15T14:41:00Z</cp:lastPrinted>
  <dcterms:created xsi:type="dcterms:W3CDTF">2023-03-03T12:54:00Z</dcterms:created>
  <dcterms:modified xsi:type="dcterms:W3CDTF">2024-01-15T16:04:00Z</dcterms:modified>
</cp:coreProperties>
</file>