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53E41599" w14:textId="39A715AC" w:rsidR="00511202" w:rsidRDefault="00D70E79" w:rsidP="007C472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провідного</w:t>
      </w:r>
      <w:r w:rsidR="00511202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432A05"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="00432A05"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511202">
        <w:rPr>
          <w:b/>
          <w:sz w:val="24"/>
          <w:szCs w:val="24"/>
          <w:u w:val="single"/>
          <w:lang w:eastAsia="uk-UA"/>
        </w:rPr>
        <w:t>кадрової роботи та державної служби</w:t>
      </w:r>
    </w:p>
    <w:p w14:paraId="0778F787" w14:textId="337D9222" w:rsidR="00B63B55" w:rsidRDefault="00102CC7" w:rsidP="00D67D43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bookmarkEnd w:id="0"/>
    </w:p>
    <w:p w14:paraId="735BDFDD" w14:textId="26A8265C" w:rsidR="00B70AD1" w:rsidRDefault="00B70AD1" w:rsidP="00D67D43">
      <w:pPr>
        <w:jc w:val="center"/>
        <w:rPr>
          <w:b/>
          <w:sz w:val="24"/>
          <w:szCs w:val="24"/>
          <w:u w:val="single"/>
          <w:lang w:eastAsia="uk-UA"/>
        </w:rPr>
      </w:pPr>
    </w:p>
    <w:p w14:paraId="1BD461AE" w14:textId="77777777" w:rsidR="00B70AD1" w:rsidRPr="00D67D43" w:rsidRDefault="00B70AD1" w:rsidP="00D67D43">
      <w:pPr>
        <w:jc w:val="center"/>
        <w:rPr>
          <w:b/>
          <w:sz w:val="24"/>
          <w:szCs w:val="24"/>
          <w:u w:val="single"/>
          <w:lang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985"/>
        <w:gridCol w:w="812"/>
        <w:gridCol w:w="6804"/>
      </w:tblGrid>
      <w:tr w:rsidR="00415BAD" w:rsidRPr="00FB1754" w14:paraId="6F405E3E" w14:textId="77777777" w:rsidTr="00D70E79">
        <w:tc>
          <w:tcPr>
            <w:tcW w:w="10027" w:type="dxa"/>
            <w:gridSpan w:val="4"/>
            <w:vAlign w:val="center"/>
          </w:tcPr>
          <w:p w14:paraId="508090D0" w14:textId="3359B6C8" w:rsidR="00415BAD" w:rsidRPr="00432A05" w:rsidRDefault="00415BAD" w:rsidP="00D70E79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D70E79">
        <w:trPr>
          <w:trHeight w:val="268"/>
        </w:trPr>
        <w:tc>
          <w:tcPr>
            <w:tcW w:w="2411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616" w:type="dxa"/>
            <w:gridSpan w:val="2"/>
            <w:shd w:val="clear" w:color="auto" w:fill="auto"/>
          </w:tcPr>
          <w:p w14:paraId="1B40AF7B" w14:textId="39ADABB5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 xml:space="preserve">ведення діловодства у відділі кадрової роботи та державної служби обласної прокуратури. Реєстрація вхідної, вихідної та внутрішньої кореспонденції, у тому числі інформаційній системі «Система електронного документообігу органів прокуратури України» </w:t>
            </w:r>
            <w:r w:rsidR="00B70AD1">
              <w:rPr>
                <w:sz w:val="24"/>
                <w:szCs w:val="24"/>
              </w:rPr>
              <w:t xml:space="preserve">                          </w:t>
            </w:r>
            <w:r w:rsidRPr="00D70E79">
              <w:rPr>
                <w:sz w:val="24"/>
                <w:szCs w:val="24"/>
              </w:rPr>
              <w:t>та у відповідних книгах обліку, забезпечення обліку передачі та руху документів за призначенням, ведення реєстрів передачі документів працівникам відділу;</w:t>
            </w:r>
          </w:p>
          <w:p w14:paraId="1B98CF9D" w14:textId="510CDACC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 xml:space="preserve">здійснення обліку, зберігання та використання документів, </w:t>
            </w:r>
            <w:r w:rsidR="00B70AD1">
              <w:rPr>
                <w:sz w:val="24"/>
                <w:szCs w:val="24"/>
              </w:rPr>
              <w:t xml:space="preserve">                       </w:t>
            </w:r>
            <w:r w:rsidRPr="00D70E79">
              <w:rPr>
                <w:sz w:val="24"/>
                <w:szCs w:val="24"/>
              </w:rPr>
              <w:t xml:space="preserve">які містять службову інформацію відповідно до вимог Типової інструкції про порядок ведення обліку, зберігання, використання </w:t>
            </w:r>
            <w:r w:rsidR="00B70AD1">
              <w:rPr>
                <w:sz w:val="24"/>
                <w:szCs w:val="24"/>
              </w:rPr>
              <w:t xml:space="preserve">                </w:t>
            </w:r>
            <w:r w:rsidRPr="00D70E79">
              <w:rPr>
                <w:sz w:val="24"/>
                <w:szCs w:val="24"/>
              </w:rPr>
              <w:t xml:space="preserve">та знищення документів та інших матеріальних носіїв інформації, </w:t>
            </w:r>
            <w:r w:rsidR="00B70AD1">
              <w:rPr>
                <w:sz w:val="24"/>
                <w:szCs w:val="24"/>
              </w:rPr>
              <w:t xml:space="preserve">              </w:t>
            </w:r>
            <w:r w:rsidRPr="00D70E79">
              <w:rPr>
                <w:sz w:val="24"/>
                <w:szCs w:val="24"/>
              </w:rPr>
              <w:t xml:space="preserve">що містять службову інформацію, затвердженої постановою Кабінету Міністрів України від 19.10.2016 № 736 та Інструкції про порядок ведення обліку, зберігання, використання і знищення документів </w:t>
            </w:r>
            <w:r w:rsidR="00B70AD1">
              <w:rPr>
                <w:sz w:val="24"/>
                <w:szCs w:val="24"/>
              </w:rPr>
              <w:t xml:space="preserve">                 </w:t>
            </w:r>
            <w:r w:rsidRPr="00D70E79">
              <w:rPr>
                <w:sz w:val="24"/>
                <w:szCs w:val="24"/>
              </w:rPr>
              <w:t>та інших матеріальних носіїв інформації, що містять службову  інформацію, в органах прокуратури України, затвердженої наказом Генеральної прокуратури України від 13.12.2017 № 349;</w:t>
            </w:r>
          </w:p>
          <w:p w14:paraId="506169EA" w14:textId="77777777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>передача кореспонденції на розгляд керівнику відділу, забезпечення оперативного проходження і збереження документів, формування виконаних документів у номенклатурні справи;</w:t>
            </w:r>
          </w:p>
          <w:p w14:paraId="44291278" w14:textId="3D7E91D8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 xml:space="preserve">здійснення комп’ютерного набору проектів документів та наказів </w:t>
            </w:r>
            <w:r w:rsidR="00B70AD1">
              <w:rPr>
                <w:sz w:val="24"/>
                <w:szCs w:val="24"/>
              </w:rPr>
              <w:t xml:space="preserve">            </w:t>
            </w:r>
            <w:r w:rsidRPr="00D70E79">
              <w:rPr>
                <w:sz w:val="24"/>
                <w:szCs w:val="24"/>
              </w:rPr>
              <w:t>за дорученням начальника відділу. Тиражування необхідних документів, друк службової кореспонденції та ознайомлення структурних підрозділів з відповідними документами;</w:t>
            </w:r>
          </w:p>
          <w:p w14:paraId="76B664F9" w14:textId="77777777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>внесення відомостей до автоматизованої інформаційно-аналітичної системі «Кадри»;</w:t>
            </w:r>
          </w:p>
          <w:p w14:paraId="4E4CAD6D" w14:textId="753C90CE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 xml:space="preserve">складає номенклатуру справ відділу, ведення табелю обліку робочого часу керівництва обласної прокуратури та працівників відділу. Взаємодія з керівництвом відділу документального забезпечення </w:t>
            </w:r>
            <w:r w:rsidR="00B70AD1">
              <w:rPr>
                <w:sz w:val="24"/>
                <w:szCs w:val="24"/>
              </w:rPr>
              <w:t xml:space="preserve">                </w:t>
            </w:r>
            <w:r w:rsidRPr="00D70E79">
              <w:rPr>
                <w:sz w:val="24"/>
                <w:szCs w:val="24"/>
              </w:rPr>
              <w:t>та іншими державними службовцями апарату;</w:t>
            </w:r>
          </w:p>
          <w:p w14:paraId="6EA609EF" w14:textId="77777777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>підготовка та передача до архіву Полтавської обласної прокуратури закінчені діловодством документи, які підлягають подальшому зберіганню;</w:t>
            </w:r>
          </w:p>
          <w:p w14:paraId="72D7FFC5" w14:textId="77777777" w:rsidR="00D70E79" w:rsidRPr="00D70E79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>оформлення та видача довідок з місця роботи працівникам обласної прокуратури;</w:t>
            </w:r>
          </w:p>
          <w:p w14:paraId="0CBB0FBA" w14:textId="77777777" w:rsidR="00D67D43" w:rsidRDefault="00D70E79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 w:rsidRPr="00D70E79">
              <w:rPr>
                <w:sz w:val="24"/>
                <w:szCs w:val="24"/>
              </w:rPr>
              <w:t>-</w:t>
            </w:r>
            <w:r w:rsidRPr="00D70E79">
              <w:rPr>
                <w:sz w:val="24"/>
                <w:szCs w:val="24"/>
              </w:rPr>
              <w:tab/>
              <w:t>виконання інших доручень начальника відділу щодо ведення кадрової роботи.</w:t>
            </w:r>
          </w:p>
          <w:p w14:paraId="4CFA0F3D" w14:textId="547E4F75" w:rsidR="00B70AD1" w:rsidRPr="00D67D43" w:rsidRDefault="00B70AD1" w:rsidP="00D70E79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</w:p>
        </w:tc>
      </w:tr>
      <w:tr w:rsidR="00D67D43" w:rsidRPr="00FB1754" w14:paraId="7BCD1F36" w14:textId="77777777" w:rsidTr="00D70E79">
        <w:trPr>
          <w:trHeight w:val="268"/>
        </w:trPr>
        <w:tc>
          <w:tcPr>
            <w:tcW w:w="2411" w:type="dxa"/>
            <w:gridSpan w:val="2"/>
          </w:tcPr>
          <w:p w14:paraId="252C7E32" w14:textId="571DC70A" w:rsidR="00D67D43" w:rsidRPr="00FB1754" w:rsidRDefault="00D67D43" w:rsidP="00D70E79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Умови оплати праці</w:t>
            </w:r>
          </w:p>
        </w:tc>
        <w:tc>
          <w:tcPr>
            <w:tcW w:w="7616" w:type="dxa"/>
            <w:gridSpan w:val="2"/>
            <w:shd w:val="clear" w:color="auto" w:fill="auto"/>
          </w:tcPr>
          <w:p w14:paraId="4981412B" w14:textId="667411D7" w:rsidR="00D67D43" w:rsidRDefault="00D67D43" w:rsidP="00D70E79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>
              <w:rPr>
                <w:sz w:val="24"/>
              </w:rPr>
              <w:t xml:space="preserve"> – </w:t>
            </w:r>
            <w:r w:rsidRPr="004D6E1F">
              <w:rPr>
                <w:sz w:val="24"/>
              </w:rPr>
              <w:t>5</w:t>
            </w:r>
            <w:r w:rsidR="004D6E1F" w:rsidRPr="004D6E1F">
              <w:rPr>
                <w:sz w:val="24"/>
              </w:rPr>
              <w:t>6</w:t>
            </w:r>
            <w:r w:rsidRPr="004D6E1F">
              <w:rPr>
                <w:sz w:val="24"/>
              </w:rPr>
              <w:t>00</w:t>
            </w:r>
            <w:bookmarkStart w:id="1" w:name="_GoBack"/>
            <w:bookmarkEnd w:id="1"/>
            <w:r>
              <w:rPr>
                <w:sz w:val="24"/>
              </w:rPr>
              <w:t xml:space="preserve"> 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статей 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 w:rsidR="00B70AD1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  <w:r>
              <w:rPr>
                <w:sz w:val="24"/>
              </w:rPr>
              <w:t>.</w:t>
            </w:r>
          </w:p>
          <w:p w14:paraId="36F1F83D" w14:textId="7F570C56" w:rsidR="00B70AD1" w:rsidRPr="00E61F12" w:rsidRDefault="00B70AD1" w:rsidP="00D70E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67D43" w:rsidRPr="00FB1754" w14:paraId="053646A2" w14:textId="77777777" w:rsidTr="00D70E79">
        <w:tc>
          <w:tcPr>
            <w:tcW w:w="2411" w:type="dxa"/>
            <w:gridSpan w:val="2"/>
          </w:tcPr>
          <w:p w14:paraId="7B1790FD" w14:textId="2182E979" w:rsidR="00D67D43" w:rsidRPr="00801508" w:rsidRDefault="00D67D43" w:rsidP="00B70AD1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616" w:type="dxa"/>
            <w:gridSpan w:val="2"/>
          </w:tcPr>
          <w:p w14:paraId="49065379" w14:textId="0ED8164F" w:rsidR="00D67D43" w:rsidRPr="00432A05" w:rsidRDefault="00D67D43" w:rsidP="00B70AD1">
            <w:pPr>
              <w:ind w:firstLine="4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</w:t>
            </w:r>
            <w:r w:rsidR="00B70AD1">
              <w:rPr>
                <w:sz w:val="24"/>
                <w:szCs w:val="24"/>
              </w:rPr>
              <w:t xml:space="preserve">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708DCA9B" w14:textId="77777777" w:rsidR="00D67D43" w:rsidRDefault="00D67D43" w:rsidP="00B70AD1">
            <w:pPr>
              <w:ind w:firstLine="457"/>
              <w:rPr>
                <w:sz w:val="24"/>
                <w:szCs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14:paraId="5222341E" w14:textId="7EADE742" w:rsidR="00B70AD1" w:rsidRPr="00D67D43" w:rsidRDefault="00B70AD1" w:rsidP="00B70AD1">
            <w:pPr>
              <w:ind w:firstLine="457"/>
              <w:rPr>
                <w:sz w:val="24"/>
                <w:szCs w:val="24"/>
              </w:rPr>
            </w:pPr>
          </w:p>
        </w:tc>
      </w:tr>
      <w:tr w:rsidR="00D67D43" w:rsidRPr="00FB1754" w14:paraId="49C57FB3" w14:textId="77777777" w:rsidTr="00D70E7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59D9EB5A" w:rsidR="00D67D43" w:rsidRPr="00FB1754" w:rsidRDefault="00D67D43" w:rsidP="00B70AD1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7772601F" w:rsidR="00D67D43" w:rsidRPr="004D6E1F" w:rsidRDefault="00D67D43" w:rsidP="004D6E1F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заява про призначення на посаду на період дії воєнного стану </w:t>
            </w:r>
            <w:r w:rsidR="004D6E1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4D6E1F">
              <w:rPr>
                <w:rFonts w:cs="Times New Roman"/>
                <w:sz w:val="24"/>
              </w:rPr>
              <w:t>(з підписом);</w:t>
            </w:r>
          </w:p>
          <w:p w14:paraId="1F4BA33D" w14:textId="3B54D9FF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особова картка державного службовця встановленого зразка (затверджена наказом НАДС від 19.05.2020 № 77-20) (з підписом); </w:t>
            </w:r>
          </w:p>
          <w:p w14:paraId="3867817D" w14:textId="77777777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6DC2288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</w:t>
            </w:r>
            <w:r w:rsidR="00D70E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від прийняття реєстраційного номера облікової картки платника податків </w:t>
            </w:r>
            <w:r w:rsidR="00D70E79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</w:rPr>
              <w:t>та повідомили про це відповідний контролюючий орган</w:t>
            </w:r>
            <w:r w:rsidR="00D70E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і мають відмітку у паспорті);</w:t>
            </w:r>
          </w:p>
          <w:p w14:paraId="1776DB34" w14:textId="4DBECDD3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D67D43" w:rsidRPr="005B1AB6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846EE6F" w:rsidR="00D67D43" w:rsidRDefault="00D67D43" w:rsidP="00B70AD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543609D7" w14:textId="77777777" w:rsidR="00D67D43" w:rsidRDefault="00D67D43" w:rsidP="00B70AD1">
            <w:pPr>
              <w:pStyle w:val="a6"/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8EF5F4" w14:textId="77777777" w:rsidR="00D67D43" w:rsidRDefault="00D67D43" w:rsidP="00B70AD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D70E79">
              <w:rPr>
                <w:rFonts w:cs="Times New Roman"/>
                <w:b/>
                <w:bCs/>
                <w:sz w:val="24"/>
              </w:rPr>
              <w:t>15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="00D70E79">
              <w:rPr>
                <w:rFonts w:cs="Times New Roman"/>
                <w:b/>
                <w:bCs/>
                <w:sz w:val="24"/>
              </w:rPr>
              <w:t>березня</w:t>
            </w:r>
            <w:r>
              <w:rPr>
                <w:rFonts w:cs="Times New Roman"/>
                <w:b/>
                <w:bCs/>
                <w:sz w:val="24"/>
              </w:rPr>
              <w:t xml:space="preserve"> 2023 року</w:t>
            </w:r>
            <w:r>
              <w:rPr>
                <w:rFonts w:cs="Times New Roman"/>
                <w:sz w:val="24"/>
              </w:rPr>
              <w:t xml:space="preserve"> </w:t>
            </w:r>
            <w:r w:rsidRPr="00274B35">
              <w:rPr>
                <w:rFonts w:cs="Times New Roman"/>
                <w:b/>
                <w:bCs/>
                <w:sz w:val="24"/>
              </w:rPr>
              <w:t>включно</w:t>
            </w:r>
            <w:r>
              <w:rPr>
                <w:rFonts w:cs="Times New Roman"/>
                <w:sz w:val="24"/>
              </w:rPr>
              <w:t xml:space="preserve">                      на електронну адресу: </w:t>
            </w:r>
            <w:proofErr w:type="spellStart"/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proofErr w:type="spellEnd"/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proofErr w:type="spellEnd"/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                      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1100-річчя Полтави, буд.7 м. Полтава, 36000</w:t>
            </w:r>
          </w:p>
          <w:p w14:paraId="25A1C313" w14:textId="12DC8960" w:rsidR="00B70AD1" w:rsidRPr="00D67D43" w:rsidRDefault="00B70AD1" w:rsidP="00B70AD1">
            <w:pPr>
              <w:rPr>
                <w:rFonts w:cs="Times New Roman"/>
                <w:sz w:val="24"/>
              </w:rPr>
            </w:pPr>
          </w:p>
        </w:tc>
      </w:tr>
      <w:tr w:rsidR="00D67D43" w:rsidRPr="00FB1754" w14:paraId="6EFA3C01" w14:textId="77777777" w:rsidTr="00D70E7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20" w14:textId="3D2C65D1" w:rsidR="00D67D43" w:rsidRPr="00FB1754" w:rsidRDefault="00D67D43" w:rsidP="00B70AD1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693246AD" w:rsidR="00D67D43" w:rsidRDefault="00D67D43" w:rsidP="00B70AD1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Граждян Яна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D67D43" w:rsidRDefault="00D67D43" w:rsidP="00B70AD1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D67D43" w:rsidRDefault="00D67D43" w:rsidP="00B70AD1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D67D43" w:rsidRPr="00FB1754" w:rsidRDefault="00D67D43" w:rsidP="00B70AD1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67D43" w:rsidRPr="00FB1754" w14:paraId="05868B1E" w14:textId="77777777" w:rsidTr="00D70E79">
        <w:tc>
          <w:tcPr>
            <w:tcW w:w="10027" w:type="dxa"/>
            <w:gridSpan w:val="4"/>
          </w:tcPr>
          <w:p w14:paraId="10DCE695" w14:textId="72702321" w:rsidR="00D67D43" w:rsidRPr="00FB1754" w:rsidRDefault="00D67D43" w:rsidP="00B70AD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D67D43" w:rsidRPr="00FB1754" w14:paraId="433FB299" w14:textId="77777777" w:rsidTr="00B70AD1">
        <w:tc>
          <w:tcPr>
            <w:tcW w:w="426" w:type="dxa"/>
          </w:tcPr>
          <w:p w14:paraId="1593BF17" w14:textId="77777777" w:rsidR="00D67D43" w:rsidRPr="00FB1754" w:rsidRDefault="00D67D43" w:rsidP="00B70AD1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97" w:type="dxa"/>
            <w:gridSpan w:val="2"/>
          </w:tcPr>
          <w:p w14:paraId="601689E1" w14:textId="77777777" w:rsidR="00D67D43" w:rsidRPr="00FB1754" w:rsidRDefault="00D67D43" w:rsidP="00B70AD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570ABEBD" w:rsidR="00D67D43" w:rsidRPr="00D67D43" w:rsidRDefault="00D67D43" w:rsidP="00B70AD1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за освітнім ступенем не нижче молодшого бакалавра або бакалавра</w:t>
            </w:r>
          </w:p>
        </w:tc>
      </w:tr>
      <w:tr w:rsidR="00D67D43" w:rsidRPr="00FB1754" w14:paraId="11CC1BB4" w14:textId="77777777" w:rsidTr="00B70AD1">
        <w:tc>
          <w:tcPr>
            <w:tcW w:w="426" w:type="dxa"/>
          </w:tcPr>
          <w:p w14:paraId="7DB37EC1" w14:textId="77777777" w:rsidR="00D67D43" w:rsidRPr="00FB1754" w:rsidRDefault="00D67D43" w:rsidP="00B70AD1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797" w:type="dxa"/>
            <w:gridSpan w:val="2"/>
          </w:tcPr>
          <w:p w14:paraId="6A12B6E2" w14:textId="77777777" w:rsidR="00D67D43" w:rsidRPr="00FB1754" w:rsidRDefault="00D67D43" w:rsidP="00B70AD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D67D43" w:rsidRPr="005B1AB6" w:rsidRDefault="00D67D43" w:rsidP="00B70AD1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D67D43" w:rsidRPr="00FB1754" w14:paraId="165988D9" w14:textId="77777777" w:rsidTr="00B70AD1">
        <w:tc>
          <w:tcPr>
            <w:tcW w:w="426" w:type="dxa"/>
          </w:tcPr>
          <w:p w14:paraId="5E4F8B13" w14:textId="77777777" w:rsidR="00D67D43" w:rsidRPr="00FB1754" w:rsidRDefault="00D67D43" w:rsidP="00B70AD1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797" w:type="dxa"/>
            <w:gridSpan w:val="2"/>
          </w:tcPr>
          <w:p w14:paraId="2C974B12" w14:textId="77777777" w:rsidR="00D67D43" w:rsidRPr="00FB1754" w:rsidRDefault="00D67D43" w:rsidP="00B70AD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3AF21891" w:rsidR="00D67D43" w:rsidRPr="00FB1754" w:rsidRDefault="00D67D43" w:rsidP="00B70AD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D67D43" w:rsidRPr="00FB1754" w:rsidRDefault="00D67D43" w:rsidP="00B70AD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D67D43" w:rsidRPr="00FB1754" w14:paraId="201CF802" w14:textId="77777777" w:rsidTr="00D70E79">
        <w:tc>
          <w:tcPr>
            <w:tcW w:w="10027" w:type="dxa"/>
            <w:gridSpan w:val="4"/>
            <w:vAlign w:val="center"/>
          </w:tcPr>
          <w:p w14:paraId="03E3B78A" w14:textId="77777777" w:rsidR="00D67D43" w:rsidRPr="008D2A80" w:rsidRDefault="00D67D43" w:rsidP="00B70AD1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lastRenderedPageBreak/>
              <w:t>Вимоги до компетентності</w:t>
            </w:r>
          </w:p>
          <w:p w14:paraId="5204E047" w14:textId="77B1C31B" w:rsidR="00D67D43" w:rsidRPr="008D2A80" w:rsidRDefault="00D67D43" w:rsidP="00B70AD1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D67D43" w:rsidRPr="00FB1754" w14:paraId="3FDCFBBB" w14:textId="77777777" w:rsidTr="00B70AD1">
        <w:tc>
          <w:tcPr>
            <w:tcW w:w="426" w:type="dxa"/>
          </w:tcPr>
          <w:p w14:paraId="12633401" w14:textId="77777777" w:rsidR="00D67D43" w:rsidRPr="00FB1754" w:rsidRDefault="00D67D43" w:rsidP="00B70AD1">
            <w:pPr>
              <w:rPr>
                <w:sz w:val="24"/>
              </w:rPr>
            </w:pPr>
          </w:p>
        </w:tc>
        <w:tc>
          <w:tcPr>
            <w:tcW w:w="2797" w:type="dxa"/>
            <w:gridSpan w:val="2"/>
          </w:tcPr>
          <w:p w14:paraId="51586723" w14:textId="09CA15E8" w:rsidR="00D67D43" w:rsidRPr="005B1AB6" w:rsidRDefault="00D67D43" w:rsidP="00B70AD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D67D43" w:rsidRPr="008D2A80" w:rsidRDefault="00D67D43" w:rsidP="00B70AD1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D67D43" w:rsidRPr="008D2A80" w:rsidRDefault="00D67D43" w:rsidP="00B70AD1">
            <w:pPr>
              <w:rPr>
                <w:b/>
                <w:sz w:val="4"/>
                <w:szCs w:val="4"/>
              </w:rPr>
            </w:pPr>
          </w:p>
        </w:tc>
      </w:tr>
      <w:tr w:rsidR="00844C34" w:rsidRPr="00FB1754" w14:paraId="2A660972" w14:textId="77777777" w:rsidTr="00B70AD1">
        <w:trPr>
          <w:trHeight w:val="144"/>
        </w:trPr>
        <w:tc>
          <w:tcPr>
            <w:tcW w:w="426" w:type="dxa"/>
          </w:tcPr>
          <w:p w14:paraId="1BB21B10" w14:textId="77777777" w:rsidR="00844C34" w:rsidRPr="005C0408" w:rsidRDefault="00844C34" w:rsidP="00B70AD1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4F8" w14:textId="77777777" w:rsidR="00844C34" w:rsidRPr="00E02179" w:rsidRDefault="00844C34" w:rsidP="00B70AD1">
            <w:pPr>
              <w:jc w:val="left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14:paraId="1AC4FE65" w14:textId="52E3620A" w:rsidR="00844C34" w:rsidRPr="00D67D43" w:rsidRDefault="00844C34" w:rsidP="00B70AD1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D32" w14:textId="77777777" w:rsidR="00844C34" w:rsidRDefault="00844C34" w:rsidP="00B70AD1">
            <w:pPr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здатність до чіткого бачення результатів діяльності;</w:t>
            </w:r>
          </w:p>
          <w:p w14:paraId="50A49BFB" w14:textId="2CC588A0" w:rsidR="00844C34" w:rsidRPr="00844C34" w:rsidRDefault="00844C34" w:rsidP="00B70AD1">
            <w:pPr>
              <w:rPr>
                <w:rFonts w:eastAsia="Microsoft Sans Serif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E02179">
              <w:rPr>
                <w:rFonts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412B04DA" w14:textId="5600C6EC" w:rsidR="00844C34" w:rsidRPr="00D67D43" w:rsidRDefault="00844C34" w:rsidP="00B70AD1">
            <w:pPr>
              <w:widowControl w:val="0"/>
              <w:tabs>
                <w:tab w:val="left" w:pos="264"/>
              </w:tabs>
              <w:rPr>
                <w:rFonts w:eastAsia="Times New Roman"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E02179">
              <w:rPr>
                <w:rFonts w:cs="Times New Roman"/>
                <w:sz w:val="24"/>
                <w:szCs w:val="24"/>
              </w:rPr>
              <w:t>уміння працювати в команді для досягнення результату діяльності.</w:t>
            </w:r>
          </w:p>
        </w:tc>
      </w:tr>
      <w:tr w:rsidR="00EB56A6" w:rsidRPr="00FB1754" w14:paraId="7813303F" w14:textId="77777777" w:rsidTr="00B70AD1">
        <w:trPr>
          <w:trHeight w:val="333"/>
        </w:trPr>
        <w:tc>
          <w:tcPr>
            <w:tcW w:w="426" w:type="dxa"/>
          </w:tcPr>
          <w:p w14:paraId="2785239F" w14:textId="77777777" w:rsidR="00EB56A6" w:rsidRPr="005C0408" w:rsidRDefault="00EB56A6" w:rsidP="00B70AD1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D2" w14:textId="19B1B27B" w:rsidR="00EB56A6" w:rsidRDefault="00EB56A6" w:rsidP="00B70AD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B56A6">
              <w:rPr>
                <w:rFonts w:cs="Times New Roman"/>
                <w:sz w:val="24"/>
                <w:szCs w:val="24"/>
                <w:lang w:eastAsia="ru-RU"/>
              </w:rPr>
              <w:t>Самоорганізація</w:t>
            </w:r>
          </w:p>
          <w:p w14:paraId="7B12B57D" w14:textId="5118CEC8" w:rsidR="00EB56A6" w:rsidRDefault="00EB56A6" w:rsidP="00B70AD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B56A6">
              <w:rPr>
                <w:rFonts w:cs="Times New Roman"/>
                <w:sz w:val="24"/>
                <w:szCs w:val="24"/>
                <w:lang w:eastAsia="ru-RU"/>
              </w:rPr>
              <w:t>та самостійність</w:t>
            </w:r>
          </w:p>
          <w:p w14:paraId="39B44FFF" w14:textId="2137F730" w:rsidR="00EB56A6" w:rsidRPr="00EB56A6" w:rsidRDefault="00EB56A6" w:rsidP="00B70AD1">
            <w:pPr>
              <w:jc w:val="left"/>
              <w:rPr>
                <w:sz w:val="24"/>
                <w:szCs w:val="24"/>
                <w:highlight w:val="yellow"/>
              </w:rPr>
            </w:pPr>
            <w:r w:rsidRPr="00EB56A6">
              <w:rPr>
                <w:rFonts w:cs="Times New Roman"/>
                <w:sz w:val="24"/>
                <w:szCs w:val="24"/>
                <w:lang w:eastAsia="ru-RU"/>
              </w:rPr>
              <w:t>у роботі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37A" w14:textId="149D5F12" w:rsidR="00EB56A6" w:rsidRPr="00EB56A6" w:rsidRDefault="00EB56A6" w:rsidP="00B70AD1">
            <w:pPr>
              <w:widowControl w:val="0"/>
              <w:tabs>
                <w:tab w:val="left" w:pos="0"/>
              </w:tabs>
              <w:rPr>
                <w:rFonts w:eastAsia="Arial Unicode MS" w:cs="Times New Roman"/>
                <w:sz w:val="24"/>
                <w:szCs w:val="24"/>
                <w:lang w:eastAsia="uk-UA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- </w:t>
            </w:r>
            <w:r w:rsidRPr="00EB56A6">
              <w:rPr>
                <w:rFonts w:eastAsia="Arial Unicode MS" w:cs="Times New Roman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6E7548C" w14:textId="7A9E378D" w:rsidR="00EB56A6" w:rsidRPr="00EB56A6" w:rsidRDefault="00EB56A6" w:rsidP="00B70AD1">
            <w:pPr>
              <w:widowControl w:val="0"/>
              <w:tabs>
                <w:tab w:val="left" w:pos="0"/>
              </w:tabs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- </w:t>
            </w:r>
            <w:r w:rsidRPr="00EB56A6">
              <w:rPr>
                <w:rFonts w:eastAsia="Arial Unicode MS" w:cs="Times New Roman"/>
                <w:sz w:val="24"/>
                <w:szCs w:val="24"/>
              </w:rPr>
              <w:t xml:space="preserve">здатність до </w:t>
            </w:r>
            <w:proofErr w:type="spellStart"/>
            <w:r w:rsidRPr="00EB56A6">
              <w:rPr>
                <w:rFonts w:eastAsia="Arial Unicode MS" w:cs="Times New Roman"/>
                <w:sz w:val="24"/>
                <w:szCs w:val="24"/>
              </w:rPr>
              <w:t>самомотивації</w:t>
            </w:r>
            <w:proofErr w:type="spellEnd"/>
            <w:r w:rsidRPr="00EB56A6">
              <w:rPr>
                <w:rFonts w:eastAsia="Arial Unicode MS" w:cs="Times New Roman"/>
                <w:sz w:val="24"/>
                <w:szCs w:val="24"/>
              </w:rPr>
              <w:t xml:space="preserve"> (самоуправління);</w:t>
            </w:r>
          </w:p>
          <w:p w14:paraId="028D0C08" w14:textId="17C98070" w:rsidR="00EB56A6" w:rsidRPr="00EB56A6" w:rsidRDefault="00EB56A6" w:rsidP="00B70AD1">
            <w:pPr>
              <w:widowControl w:val="0"/>
              <w:tabs>
                <w:tab w:val="left" w:pos="0"/>
              </w:tabs>
              <w:ind w:right="3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- </w:t>
            </w:r>
            <w:r w:rsidRPr="00EB56A6">
              <w:rPr>
                <w:rFonts w:eastAsia="Arial Unicode MS" w:cs="Times New Roman"/>
                <w:sz w:val="24"/>
                <w:szCs w:val="24"/>
              </w:rPr>
              <w:t xml:space="preserve">вміння самостійно приймати рішення і виконувати завдання 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EB56A6">
              <w:rPr>
                <w:rFonts w:eastAsia="Arial Unicode MS" w:cs="Times New Roman"/>
                <w:sz w:val="24"/>
                <w:szCs w:val="24"/>
              </w:rPr>
              <w:t>у професійній діяльності.</w:t>
            </w:r>
          </w:p>
        </w:tc>
      </w:tr>
      <w:tr w:rsidR="00D67D43" w:rsidRPr="00FB1754" w14:paraId="40767C09" w14:textId="77777777" w:rsidTr="00B70AD1">
        <w:trPr>
          <w:trHeight w:val="1939"/>
        </w:trPr>
        <w:tc>
          <w:tcPr>
            <w:tcW w:w="426" w:type="dxa"/>
          </w:tcPr>
          <w:p w14:paraId="132EDA93" w14:textId="77777777" w:rsidR="00D67D43" w:rsidRPr="005C0408" w:rsidRDefault="00D67D43" w:rsidP="00B70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797" w:type="dxa"/>
            <w:gridSpan w:val="2"/>
          </w:tcPr>
          <w:p w14:paraId="0784035C" w14:textId="1D098F4B" w:rsidR="00D67D43" w:rsidRPr="00D67D43" w:rsidRDefault="00D67D43" w:rsidP="00B70AD1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804" w:type="dxa"/>
            <w:shd w:val="clear" w:color="auto" w:fill="auto"/>
          </w:tcPr>
          <w:p w14:paraId="6E485DC4" w14:textId="77777777" w:rsidR="00D67D43" w:rsidRDefault="00D67D43" w:rsidP="00B70AD1">
            <w:pPr>
              <w:widowControl w:val="0"/>
              <w:tabs>
                <w:tab w:val="left" w:pos="264"/>
                <w:tab w:val="left" w:pos="346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Pr="00D67D43">
              <w:rPr>
                <w:rFonts w:eastAsia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072C345" w14:textId="5BAA82B0" w:rsidR="00D67D43" w:rsidRDefault="00D67D43" w:rsidP="00B70AD1">
            <w:pPr>
              <w:widowControl w:val="0"/>
              <w:tabs>
                <w:tab w:val="left" w:pos="264"/>
                <w:tab w:val="left" w:pos="360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Pr="00D67D43">
              <w:rPr>
                <w:rFonts w:eastAsia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="00EB56A6">
              <w:rPr>
                <w:rFonts w:eastAsia="Times New Roman" w:cs="Times New Roman"/>
                <w:sz w:val="24"/>
                <w:szCs w:val="24"/>
              </w:rPr>
              <w:t xml:space="preserve">                   </w:t>
            </w:r>
            <w:r w:rsidRPr="00D67D43">
              <w:rPr>
                <w:rFonts w:eastAsia="Times New Roman" w:cs="Times New Roman"/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 w:rsidR="00EB56A6"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  <w:r w:rsidRPr="00D67D43">
              <w:rPr>
                <w:rFonts w:eastAsia="Times New Roman" w:cs="Times New Roman"/>
                <w:sz w:val="24"/>
                <w:szCs w:val="24"/>
              </w:rPr>
              <w:t xml:space="preserve">за можливі наслідки реалізації таких рішень; </w:t>
            </w:r>
          </w:p>
          <w:p w14:paraId="33B1A0E7" w14:textId="0BDE0B43" w:rsidR="00D67D43" w:rsidRPr="00D67D43" w:rsidRDefault="00D67D43" w:rsidP="00B70AD1">
            <w:pPr>
              <w:widowControl w:val="0"/>
              <w:tabs>
                <w:tab w:val="left" w:pos="264"/>
                <w:tab w:val="left" w:pos="360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Pr="00D67D43">
              <w:rPr>
                <w:rFonts w:eastAsia="Times New Roman" w:cs="Times New Roman"/>
                <w:sz w:val="24"/>
                <w:szCs w:val="24"/>
              </w:rPr>
              <w:t xml:space="preserve">здатність брати на себе зобов’язання, чітко їх дотримуватись </w:t>
            </w:r>
            <w:r w:rsidR="00EB56A6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D67D43">
              <w:rPr>
                <w:rFonts w:eastAsia="Times New Roman" w:cs="Times New Roman"/>
                <w:sz w:val="24"/>
                <w:szCs w:val="24"/>
              </w:rPr>
              <w:t>і виконувати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D67D43" w:rsidRPr="00FB1754" w14:paraId="6CFDFB8D" w14:textId="77777777" w:rsidTr="00B70AD1">
        <w:trPr>
          <w:trHeight w:val="126"/>
        </w:trPr>
        <w:tc>
          <w:tcPr>
            <w:tcW w:w="10027" w:type="dxa"/>
            <w:gridSpan w:val="4"/>
          </w:tcPr>
          <w:p w14:paraId="1C812F00" w14:textId="77777777" w:rsidR="00D67D43" w:rsidRPr="00102CC7" w:rsidRDefault="00D67D43" w:rsidP="00B70AD1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D67D43" w:rsidRPr="00102CC7" w:rsidRDefault="00D67D43" w:rsidP="00B70AD1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D67D43" w:rsidRPr="00102CC7" w:rsidRDefault="00D67D43" w:rsidP="00B70AD1">
            <w:pPr>
              <w:rPr>
                <w:sz w:val="4"/>
                <w:szCs w:val="4"/>
                <w:highlight w:val="yellow"/>
              </w:rPr>
            </w:pPr>
          </w:p>
        </w:tc>
      </w:tr>
      <w:tr w:rsidR="00D67D43" w:rsidRPr="00FB1754" w14:paraId="4D0E0100" w14:textId="77777777" w:rsidTr="00B70AD1">
        <w:trPr>
          <w:trHeight w:val="120"/>
        </w:trPr>
        <w:tc>
          <w:tcPr>
            <w:tcW w:w="426" w:type="dxa"/>
          </w:tcPr>
          <w:p w14:paraId="66A83839" w14:textId="77777777" w:rsidR="00D67D43" w:rsidRPr="00FB1754" w:rsidRDefault="00D67D43" w:rsidP="00B70AD1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D67D43" w:rsidRPr="00FB1754" w:rsidRDefault="00D67D43" w:rsidP="00B70AD1">
            <w:pPr>
              <w:rPr>
                <w:b/>
                <w:sz w:val="12"/>
                <w:szCs w:val="12"/>
              </w:rPr>
            </w:pPr>
          </w:p>
        </w:tc>
        <w:tc>
          <w:tcPr>
            <w:tcW w:w="2797" w:type="dxa"/>
            <w:gridSpan w:val="2"/>
          </w:tcPr>
          <w:p w14:paraId="12D9C43D" w14:textId="77777777" w:rsidR="00D67D43" w:rsidRPr="00102CC7" w:rsidRDefault="00D67D43" w:rsidP="00B70AD1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D67D43" w:rsidRPr="00102CC7" w:rsidRDefault="00D67D43" w:rsidP="00B70AD1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D67D43" w:rsidRPr="00FB1754" w14:paraId="18ED1A84" w14:textId="77777777" w:rsidTr="00B70AD1">
        <w:trPr>
          <w:trHeight w:val="1440"/>
        </w:trPr>
        <w:tc>
          <w:tcPr>
            <w:tcW w:w="426" w:type="dxa"/>
          </w:tcPr>
          <w:p w14:paraId="2D493B30" w14:textId="77777777" w:rsidR="00D67D43" w:rsidRPr="00FB1754" w:rsidRDefault="00D67D43" w:rsidP="00B70AD1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6D706EA9" w14:textId="77777777" w:rsidR="00D67D43" w:rsidRPr="00331F7F" w:rsidRDefault="00D67D43" w:rsidP="00B70AD1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D67D43" w:rsidRPr="00331F7F" w:rsidRDefault="00D67D43" w:rsidP="00B70AD1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77777777" w:rsidR="00D67D43" w:rsidRDefault="00D67D43" w:rsidP="00B70AD1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77777777" w:rsidR="00D67D43" w:rsidRDefault="00D67D43" w:rsidP="00B70AD1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0D106BC6" w:rsidR="00D67D43" w:rsidRPr="00331F7F" w:rsidRDefault="00D67D43" w:rsidP="00B70AD1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F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D67D43" w:rsidRPr="00FB1754" w14:paraId="7F952465" w14:textId="77777777" w:rsidTr="00B70AD1">
        <w:trPr>
          <w:trHeight w:val="699"/>
        </w:trPr>
        <w:tc>
          <w:tcPr>
            <w:tcW w:w="426" w:type="dxa"/>
          </w:tcPr>
          <w:p w14:paraId="5B1F087A" w14:textId="77777777" w:rsidR="00D67D43" w:rsidRPr="00FB1754" w:rsidRDefault="00D67D43" w:rsidP="00B70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509517F2" w14:textId="77777777" w:rsidR="00D67D43" w:rsidRPr="00331F7F" w:rsidRDefault="00D67D43" w:rsidP="00B70AD1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D67D43" w:rsidRPr="00331F7F" w:rsidRDefault="00D67D43" w:rsidP="00B70AD1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D67D43" w:rsidRDefault="00D67D43" w:rsidP="00B70AD1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77777777" w:rsidR="00D67D43" w:rsidRPr="0021382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eastAsia="Arial Unicode MS" w:cs="Times New Roman"/>
                <w:sz w:val="24"/>
                <w:szCs w:val="24"/>
              </w:rPr>
            </w:pPr>
            <w:r w:rsidRPr="00213829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213829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213829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77777777" w:rsidR="00D67D43" w:rsidRPr="0021382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213829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213829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213829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15B47683" w14:textId="1F220D28" w:rsidR="00D67D43" w:rsidRPr="00F80C7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213829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213829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213829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385DCC4" w14:textId="341EB6B2" w:rsidR="00D67D43" w:rsidRPr="0021382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cs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 (зі змінами)</w:t>
            </w:r>
            <w:r w:rsidRPr="00213829">
              <w:rPr>
                <w:rFonts w:cs="Times New Roman"/>
                <w:sz w:val="24"/>
                <w:szCs w:val="24"/>
              </w:rPr>
              <w:t>;</w:t>
            </w:r>
          </w:p>
          <w:p w14:paraId="40FF8C20" w14:textId="2299EDFE" w:rsidR="00D67D43" w:rsidRPr="0021382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  <w:lang w:eastAsia="ru-RU"/>
              </w:rPr>
            </w:pPr>
            <w:r w:rsidRPr="00213829">
              <w:rPr>
                <w:rFonts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13829">
              <w:rPr>
                <w:rFonts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213829">
              <w:rPr>
                <w:rFonts w:eastAsia="Times New Roman" w:cs="Times New Roman"/>
                <w:sz w:val="24"/>
                <w:szCs w:val="24"/>
                <w:lang w:eastAsia="ru-RU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13.12.2017 № 349;</w:t>
            </w:r>
          </w:p>
          <w:p w14:paraId="0F6A6443" w14:textId="79997BBB" w:rsidR="00D67D43" w:rsidRPr="0021382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  <w:lang w:eastAsia="ru-RU"/>
              </w:rPr>
            </w:pPr>
            <w:r w:rsidRPr="0021382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 </w:t>
            </w:r>
            <w:r w:rsidRPr="00213829">
              <w:rPr>
                <w:sz w:val="24"/>
                <w:szCs w:val="24"/>
              </w:rPr>
              <w:t xml:space="preserve">Інструкції з обліку кадрів в органах прокуратури, </w:t>
            </w:r>
            <w:r w:rsidRPr="00213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затвердженої наказом Генеральної прокуратури України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13829">
              <w:rPr>
                <w:rFonts w:eastAsia="Times New Roman" w:cs="Times New Roman"/>
                <w:sz w:val="24"/>
                <w:szCs w:val="24"/>
                <w:lang w:eastAsia="ru-RU"/>
              </w:rPr>
              <w:t>від 31.12.2021 № 415.</w:t>
            </w:r>
          </w:p>
        </w:tc>
      </w:tr>
      <w:tr w:rsidR="00D67D43" w:rsidRPr="00FB1754" w14:paraId="09C641C9" w14:textId="77777777" w:rsidTr="00B70AD1">
        <w:trPr>
          <w:trHeight w:val="699"/>
        </w:trPr>
        <w:tc>
          <w:tcPr>
            <w:tcW w:w="426" w:type="dxa"/>
          </w:tcPr>
          <w:p w14:paraId="028763DD" w14:textId="0AA2916D" w:rsidR="00D67D43" w:rsidRDefault="00D67D43" w:rsidP="00B70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70AD1">
              <w:rPr>
                <w:sz w:val="24"/>
              </w:rPr>
              <w:t>.</w:t>
            </w:r>
          </w:p>
        </w:tc>
        <w:tc>
          <w:tcPr>
            <w:tcW w:w="2797" w:type="dxa"/>
            <w:gridSpan w:val="2"/>
          </w:tcPr>
          <w:p w14:paraId="1F0ECE62" w14:textId="15A05152" w:rsidR="00D67D43" w:rsidRPr="00331F7F" w:rsidRDefault="00D67D43" w:rsidP="00B70AD1">
            <w:pPr>
              <w:jc w:val="left"/>
              <w:rPr>
                <w:sz w:val="24"/>
              </w:rPr>
            </w:pPr>
            <w:r w:rsidRPr="00294997">
              <w:rPr>
                <w:rFonts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6804" w:type="dxa"/>
          </w:tcPr>
          <w:p w14:paraId="425C6AF0" w14:textId="49C7E9A9" w:rsidR="00D67D43" w:rsidRDefault="00D67D43" w:rsidP="00B70A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99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:</w:t>
            </w:r>
          </w:p>
          <w:p w14:paraId="161048D1" w14:textId="1A227345" w:rsidR="00D67D43" w:rsidRPr="00213829" w:rsidRDefault="00D67D43" w:rsidP="00B70AD1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AB6B" w14:textId="77777777" w:rsidR="00940A15" w:rsidRDefault="00940A15">
      <w:r>
        <w:separator/>
      </w:r>
    </w:p>
  </w:endnote>
  <w:endnote w:type="continuationSeparator" w:id="0">
    <w:p w14:paraId="59E4BB33" w14:textId="77777777" w:rsidR="00940A15" w:rsidRDefault="009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4C85" w14:textId="77777777" w:rsidR="00940A15" w:rsidRDefault="00940A15">
      <w:r>
        <w:separator/>
      </w:r>
    </w:p>
  </w:footnote>
  <w:footnote w:type="continuationSeparator" w:id="0">
    <w:p w14:paraId="15BB1C1E" w14:textId="77777777" w:rsidR="00940A15" w:rsidRDefault="0094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5"/>
  </w:num>
  <w:num w:numId="5">
    <w:abstractNumId w:val="9"/>
  </w:num>
  <w:num w:numId="6">
    <w:abstractNumId w:val="10"/>
  </w:num>
  <w:num w:numId="7">
    <w:abstractNumId w:val="19"/>
  </w:num>
  <w:num w:numId="8">
    <w:abstractNumId w:val="28"/>
  </w:num>
  <w:num w:numId="9">
    <w:abstractNumId w:val="16"/>
  </w:num>
  <w:num w:numId="10">
    <w:abstractNumId w:val="11"/>
  </w:num>
  <w:num w:numId="11">
    <w:abstractNumId w:val="26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9"/>
  </w:num>
  <w:num w:numId="28">
    <w:abstractNumId w:val="15"/>
  </w:num>
  <w:num w:numId="29">
    <w:abstractNumId w:val="1"/>
  </w:num>
  <w:num w:numId="30">
    <w:abstractNumId w:val="6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95941"/>
    <w:rsid w:val="000A5124"/>
    <w:rsid w:val="000B24D2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7086"/>
    <w:rsid w:val="00124BE2"/>
    <w:rsid w:val="001354A3"/>
    <w:rsid w:val="0014275E"/>
    <w:rsid w:val="00152FEC"/>
    <w:rsid w:val="001557CE"/>
    <w:rsid w:val="00171824"/>
    <w:rsid w:val="001809E2"/>
    <w:rsid w:val="001D4E6D"/>
    <w:rsid w:val="001D6D6D"/>
    <w:rsid w:val="001E1E0B"/>
    <w:rsid w:val="001E2FF5"/>
    <w:rsid w:val="001F026C"/>
    <w:rsid w:val="001F603F"/>
    <w:rsid w:val="00200B45"/>
    <w:rsid w:val="0021268E"/>
    <w:rsid w:val="00213829"/>
    <w:rsid w:val="00225630"/>
    <w:rsid w:val="002320C7"/>
    <w:rsid w:val="002324B6"/>
    <w:rsid w:val="0023383E"/>
    <w:rsid w:val="00235015"/>
    <w:rsid w:val="00274B35"/>
    <w:rsid w:val="0027544A"/>
    <w:rsid w:val="002A45BB"/>
    <w:rsid w:val="002B0234"/>
    <w:rsid w:val="002C6E73"/>
    <w:rsid w:val="00310653"/>
    <w:rsid w:val="00311D52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415BAD"/>
    <w:rsid w:val="00417C11"/>
    <w:rsid w:val="00432A05"/>
    <w:rsid w:val="004336FA"/>
    <w:rsid w:val="00437A36"/>
    <w:rsid w:val="00451E16"/>
    <w:rsid w:val="00451E67"/>
    <w:rsid w:val="0045312E"/>
    <w:rsid w:val="004774CD"/>
    <w:rsid w:val="0049629B"/>
    <w:rsid w:val="004A4354"/>
    <w:rsid w:val="004A4BC6"/>
    <w:rsid w:val="004A5D03"/>
    <w:rsid w:val="004B35BC"/>
    <w:rsid w:val="004D4EA2"/>
    <w:rsid w:val="004D6E1F"/>
    <w:rsid w:val="004D7D5C"/>
    <w:rsid w:val="004E38A1"/>
    <w:rsid w:val="004E643E"/>
    <w:rsid w:val="004E7BED"/>
    <w:rsid w:val="00500F51"/>
    <w:rsid w:val="00503386"/>
    <w:rsid w:val="00511202"/>
    <w:rsid w:val="005224A2"/>
    <w:rsid w:val="005248AF"/>
    <w:rsid w:val="00526D89"/>
    <w:rsid w:val="00530ACC"/>
    <w:rsid w:val="00564C90"/>
    <w:rsid w:val="005A2CB5"/>
    <w:rsid w:val="005A772C"/>
    <w:rsid w:val="005B1AB6"/>
    <w:rsid w:val="005B2D98"/>
    <w:rsid w:val="005C0408"/>
    <w:rsid w:val="005E5D48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57A47"/>
    <w:rsid w:val="00762DB0"/>
    <w:rsid w:val="00770170"/>
    <w:rsid w:val="00777899"/>
    <w:rsid w:val="007B315C"/>
    <w:rsid w:val="007B5382"/>
    <w:rsid w:val="007C4729"/>
    <w:rsid w:val="007F310C"/>
    <w:rsid w:val="007F6942"/>
    <w:rsid w:val="00801508"/>
    <w:rsid w:val="00825D78"/>
    <w:rsid w:val="00844C34"/>
    <w:rsid w:val="00850AE4"/>
    <w:rsid w:val="00865D96"/>
    <w:rsid w:val="00870976"/>
    <w:rsid w:val="00871529"/>
    <w:rsid w:val="00873AE4"/>
    <w:rsid w:val="00886392"/>
    <w:rsid w:val="008A04BD"/>
    <w:rsid w:val="008C43AB"/>
    <w:rsid w:val="008D2A80"/>
    <w:rsid w:val="008E329A"/>
    <w:rsid w:val="009038DE"/>
    <w:rsid w:val="0091437A"/>
    <w:rsid w:val="00914793"/>
    <w:rsid w:val="0092191F"/>
    <w:rsid w:val="009339E3"/>
    <w:rsid w:val="009341FE"/>
    <w:rsid w:val="00940A15"/>
    <w:rsid w:val="009654F9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D61A5"/>
    <w:rsid w:val="00AE275C"/>
    <w:rsid w:val="00AE7038"/>
    <w:rsid w:val="00AF4900"/>
    <w:rsid w:val="00B01D13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0AD1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67D43"/>
    <w:rsid w:val="00D70414"/>
    <w:rsid w:val="00D70E79"/>
    <w:rsid w:val="00D75DD8"/>
    <w:rsid w:val="00D92512"/>
    <w:rsid w:val="00DB3FD8"/>
    <w:rsid w:val="00DB591C"/>
    <w:rsid w:val="00DD1982"/>
    <w:rsid w:val="00DD1F08"/>
    <w:rsid w:val="00DF689F"/>
    <w:rsid w:val="00E070E6"/>
    <w:rsid w:val="00E15459"/>
    <w:rsid w:val="00E16CA6"/>
    <w:rsid w:val="00E16D30"/>
    <w:rsid w:val="00E32975"/>
    <w:rsid w:val="00E34360"/>
    <w:rsid w:val="00E61F12"/>
    <w:rsid w:val="00E66C65"/>
    <w:rsid w:val="00E71A4D"/>
    <w:rsid w:val="00E762E2"/>
    <w:rsid w:val="00E771F2"/>
    <w:rsid w:val="00EA39E7"/>
    <w:rsid w:val="00EA4B96"/>
    <w:rsid w:val="00EB56A6"/>
    <w:rsid w:val="00EC5DF7"/>
    <w:rsid w:val="00ED5355"/>
    <w:rsid w:val="00ED7A8D"/>
    <w:rsid w:val="00EE147C"/>
    <w:rsid w:val="00EE4306"/>
    <w:rsid w:val="00EE442B"/>
    <w:rsid w:val="00EE6055"/>
    <w:rsid w:val="00EE7EE1"/>
    <w:rsid w:val="00F00FE9"/>
    <w:rsid w:val="00F10396"/>
    <w:rsid w:val="00F12D65"/>
    <w:rsid w:val="00F24DD7"/>
    <w:rsid w:val="00F26421"/>
    <w:rsid w:val="00F34466"/>
    <w:rsid w:val="00F40720"/>
    <w:rsid w:val="00F40F12"/>
    <w:rsid w:val="00F42651"/>
    <w:rsid w:val="00F56C15"/>
    <w:rsid w:val="00F80C79"/>
    <w:rsid w:val="00F93807"/>
    <w:rsid w:val="00FA0C87"/>
    <w:rsid w:val="00FB4D41"/>
    <w:rsid w:val="00FB7BC0"/>
    <w:rsid w:val="00FC1A6E"/>
    <w:rsid w:val="00FC1F4A"/>
    <w:rsid w:val="00FC4978"/>
    <w:rsid w:val="00FC6C6E"/>
    <w:rsid w:val="00FC7C7A"/>
    <w:rsid w:val="00FD241A"/>
    <w:rsid w:val="00FE3EF3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75</cp:revision>
  <cp:lastPrinted>2023-03-09T09:00:00Z</cp:lastPrinted>
  <dcterms:created xsi:type="dcterms:W3CDTF">2021-03-23T13:15:00Z</dcterms:created>
  <dcterms:modified xsi:type="dcterms:W3CDTF">2023-03-09T09:01:00Z</dcterms:modified>
</cp:coreProperties>
</file>