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93C3A" w14:textId="77777777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52E18C68" w14:textId="756D1E9E" w:rsidR="00F41AF4" w:rsidRDefault="00B75300" w:rsidP="00B83D89">
      <w:pPr>
        <w:jc w:val="center"/>
        <w:rPr>
          <w:b/>
          <w:sz w:val="24"/>
          <w:szCs w:val="24"/>
          <w:lang w:val="ru-RU" w:eastAsia="uk-UA"/>
        </w:rPr>
      </w:pPr>
      <w:r w:rsidRPr="00E10ACB">
        <w:rPr>
          <w:rFonts w:eastAsia="Times New Roman" w:cs="Times New Roman"/>
          <w:b/>
          <w:bCs/>
          <w:sz w:val="24"/>
          <w:szCs w:val="24"/>
          <w:u w:val="single"/>
        </w:rPr>
        <w:t xml:space="preserve">головного </w:t>
      </w:r>
      <w:r w:rsidR="00432A05" w:rsidRPr="00E10ACB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Pr="00E10ACB">
        <w:rPr>
          <w:rFonts w:eastAsia="Times New Roman" w:cs="Times New Roman"/>
          <w:b/>
          <w:bCs/>
          <w:sz w:val="24"/>
          <w:szCs w:val="24"/>
          <w:u w:val="single"/>
        </w:rPr>
        <w:t xml:space="preserve">Решетилівської окружної прокуратури </w:t>
      </w:r>
      <w:r w:rsidR="00102CC7" w:rsidRPr="00E10ACB">
        <w:rPr>
          <w:b/>
          <w:sz w:val="24"/>
          <w:szCs w:val="24"/>
          <w:u w:val="single"/>
          <w:lang w:eastAsia="uk-UA"/>
        </w:rPr>
        <w:t xml:space="preserve"> Полтавської облас</w:t>
      </w:r>
      <w:r>
        <w:rPr>
          <w:b/>
          <w:sz w:val="24"/>
          <w:szCs w:val="24"/>
          <w:u w:val="single"/>
          <w:lang w:eastAsia="uk-UA"/>
        </w:rPr>
        <w:t>ті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</w:p>
    <w:p w14:paraId="606DBDD8" w14:textId="40042F07" w:rsidR="00BC2CEB" w:rsidRPr="00625B28" w:rsidRDefault="00BC2CEB" w:rsidP="00625B28">
      <w:pPr>
        <w:widowControl w:val="0"/>
        <w:jc w:val="center"/>
        <w:rPr>
          <w:bCs/>
          <w:sz w:val="24"/>
          <w:szCs w:val="24"/>
          <w:lang w:val="ru-RU" w:eastAsia="uk-UA"/>
        </w:rPr>
      </w:pPr>
      <w:r>
        <w:rPr>
          <w:b/>
          <w:sz w:val="24"/>
          <w:szCs w:val="24"/>
          <w:lang w:eastAsia="uk-UA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113"/>
        <w:gridCol w:w="418"/>
        <w:gridCol w:w="6701"/>
      </w:tblGrid>
      <w:tr w:rsidR="00415BAD" w:rsidRPr="00FB1754" w14:paraId="6F405E3E" w14:textId="77777777" w:rsidTr="003D34C2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A02976" w:rsidRPr="00FB1754" w14:paraId="30277B44" w14:textId="77777777" w:rsidTr="00C607B8">
        <w:trPr>
          <w:trHeight w:val="268"/>
        </w:trPr>
        <w:tc>
          <w:tcPr>
            <w:tcW w:w="2694" w:type="dxa"/>
            <w:gridSpan w:val="2"/>
          </w:tcPr>
          <w:p w14:paraId="136C52D5" w14:textId="77777777" w:rsidR="00A02976" w:rsidRPr="00FB1754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Посадові обов’язки 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C9BD0C2" w14:textId="2D0C8CF2" w:rsidR="00774A88" w:rsidRPr="00774A88" w:rsidRDefault="00774A88" w:rsidP="00774A8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  <w:r w:rsidR="00B75300" w:rsidRPr="00104EC7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о</w:t>
            </w:r>
            <w:r w:rsidRPr="00774A88">
              <w:rPr>
                <w:sz w:val="24"/>
                <w:szCs w:val="24"/>
                <w:lang w:eastAsia="zh-CN"/>
              </w:rPr>
              <w:t>рган</w:t>
            </w:r>
            <w:r>
              <w:rPr>
                <w:sz w:val="24"/>
                <w:szCs w:val="24"/>
                <w:lang w:eastAsia="zh-CN"/>
              </w:rPr>
              <w:t>і</w:t>
            </w:r>
            <w:r w:rsidRPr="00774A88">
              <w:rPr>
                <w:sz w:val="24"/>
                <w:szCs w:val="24"/>
                <w:lang w:eastAsia="zh-CN"/>
              </w:rPr>
              <w:t>зація та ведення діловодства в окружній прокуратурі, реєстрація вхідної, вихідної та внутрішньої кореспонденції в інформаційній системі «Система електронного документообігу органів прокуратури України» та у відповідних книгах обліку, забезпечення обліку передачі та руху документів за призначенням відповідно до вимог чинного законодавства. Контроль дотримання стандартів діл</w:t>
            </w:r>
            <w:r>
              <w:rPr>
                <w:sz w:val="24"/>
                <w:szCs w:val="24"/>
                <w:lang w:eastAsia="zh-CN"/>
              </w:rPr>
              <w:t>оводства в окружній прокуратурі;</w:t>
            </w:r>
          </w:p>
          <w:p w14:paraId="00A48B61" w14:textId="784E1DCE" w:rsidR="00774A88" w:rsidRPr="00774A88" w:rsidRDefault="00774A88" w:rsidP="00774A8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о</w:t>
            </w:r>
            <w:r w:rsidRPr="00774A88">
              <w:rPr>
                <w:sz w:val="24"/>
                <w:szCs w:val="24"/>
                <w:lang w:eastAsia="zh-CN"/>
              </w:rPr>
              <w:t>блік, зберігання та використання документів, які містять службову інформацію відповідно до вимог чинного законодавства. Здійснення обліку, використання та зберігання штампів і</w:t>
            </w:r>
            <w:r>
              <w:rPr>
                <w:sz w:val="24"/>
                <w:szCs w:val="24"/>
                <w:lang w:eastAsia="zh-CN"/>
              </w:rPr>
              <w:t xml:space="preserve"> печаток окружної прокуратури;</w:t>
            </w:r>
          </w:p>
          <w:p w14:paraId="4383C71A" w14:textId="14378CC6" w:rsidR="00774A88" w:rsidRPr="00774A88" w:rsidRDefault="00774A88" w:rsidP="00774A8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-к</w:t>
            </w:r>
            <w:r w:rsidRPr="00774A88">
              <w:rPr>
                <w:sz w:val="24"/>
                <w:szCs w:val="24"/>
                <w:lang w:eastAsia="zh-CN"/>
              </w:rPr>
              <w:t xml:space="preserve">онтроль за обліком, використанням та зберіганням  документів, які містять службову інформацію. Участь у проведенні щорічних перевірок стану організації роботи з документами, що містять службову інформацію, підготовка </w:t>
            </w:r>
            <w:proofErr w:type="spellStart"/>
            <w:r w:rsidRPr="00774A88">
              <w:rPr>
                <w:sz w:val="24"/>
                <w:szCs w:val="24"/>
                <w:lang w:eastAsia="zh-CN"/>
              </w:rPr>
              <w:t>проєкту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акту за результатами перевірки;</w:t>
            </w:r>
          </w:p>
          <w:p w14:paraId="317A197F" w14:textId="048BC45A" w:rsidR="00774A88" w:rsidRPr="00774A88" w:rsidRDefault="00774A88" w:rsidP="00774A8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п</w:t>
            </w:r>
            <w:r w:rsidRPr="00774A88">
              <w:rPr>
                <w:sz w:val="24"/>
                <w:szCs w:val="24"/>
                <w:lang w:eastAsia="zh-CN"/>
              </w:rPr>
              <w:t>ередача кореспонденції на розгляд керівнику окружної прокуратури, забезпечення оперативного проходження і збереження документів. Формування виконаних документів у номенклатурн</w:t>
            </w:r>
            <w:r w:rsidR="001D756C">
              <w:rPr>
                <w:sz w:val="24"/>
                <w:szCs w:val="24"/>
                <w:lang w:eastAsia="zh-CN"/>
              </w:rPr>
              <w:t>і справи, наглядові провадження;</w:t>
            </w:r>
          </w:p>
          <w:p w14:paraId="35FCD622" w14:textId="70E98521" w:rsidR="00B75300" w:rsidRDefault="00774A88" w:rsidP="00774A8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ф</w:t>
            </w:r>
            <w:r w:rsidRPr="00774A88">
              <w:rPr>
                <w:sz w:val="24"/>
                <w:szCs w:val="24"/>
                <w:lang w:eastAsia="zh-CN"/>
              </w:rPr>
              <w:t xml:space="preserve">ормування архівного фонду окружної прокуратури. Контроль відповідності документів і справ, які передаються до архіву на зберігання, вимогам чинного законодавства. Організація та здійснення заходів щодо відбору документів, строки зберігання яких закінчилися, складання </w:t>
            </w:r>
            <w:proofErr w:type="spellStart"/>
            <w:r w:rsidRPr="00774A88">
              <w:rPr>
                <w:sz w:val="24"/>
                <w:szCs w:val="24"/>
                <w:lang w:eastAsia="zh-CN"/>
              </w:rPr>
              <w:t>проєктів</w:t>
            </w:r>
            <w:proofErr w:type="spellEnd"/>
            <w:r w:rsidRPr="00774A88">
              <w:rPr>
                <w:sz w:val="24"/>
                <w:szCs w:val="24"/>
                <w:lang w:eastAsia="zh-CN"/>
              </w:rPr>
              <w:t xml:space="preserve"> актів про вилучення цих документів для знищення та подання ї</w:t>
            </w:r>
            <w:r w:rsidR="001D756C">
              <w:rPr>
                <w:sz w:val="24"/>
                <w:szCs w:val="24"/>
                <w:lang w:eastAsia="zh-CN"/>
              </w:rPr>
              <w:t>х на розгляд експертній комісії;</w:t>
            </w:r>
          </w:p>
          <w:p w14:paraId="1EC97FD7" w14:textId="7BFCCF76" w:rsidR="00774A88" w:rsidRPr="00774A88" w:rsidRDefault="00774A88" w:rsidP="00774A8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р</w:t>
            </w:r>
            <w:r w:rsidRPr="00774A88">
              <w:rPr>
                <w:sz w:val="24"/>
                <w:szCs w:val="24"/>
                <w:lang w:eastAsia="zh-CN"/>
              </w:rPr>
              <w:t>озроблення зведеної номенклатури справ окружної прокуратури на основі пропозицій відділів окружної прокуратури, аналізу діяльності окружної прокур</w:t>
            </w:r>
            <w:r w:rsidR="00D74136">
              <w:rPr>
                <w:sz w:val="24"/>
                <w:szCs w:val="24"/>
                <w:lang w:eastAsia="zh-CN"/>
              </w:rPr>
              <w:t>а</w:t>
            </w:r>
            <w:bookmarkStart w:id="1" w:name="_GoBack"/>
            <w:bookmarkEnd w:id="1"/>
            <w:r w:rsidRPr="00774A88">
              <w:rPr>
                <w:sz w:val="24"/>
                <w:szCs w:val="24"/>
                <w:lang w:eastAsia="zh-CN"/>
              </w:rPr>
              <w:t xml:space="preserve">тури та </w:t>
            </w:r>
            <w:proofErr w:type="spellStart"/>
            <w:r w:rsidRPr="00774A88">
              <w:rPr>
                <w:sz w:val="24"/>
                <w:szCs w:val="24"/>
                <w:lang w:eastAsia="zh-CN"/>
              </w:rPr>
              <w:t>номенклату</w:t>
            </w:r>
            <w:r w:rsidR="00525DEE">
              <w:rPr>
                <w:sz w:val="24"/>
                <w:szCs w:val="24"/>
                <w:lang w:eastAsia="zh-CN"/>
              </w:rPr>
              <w:t>р</w:t>
            </w:r>
            <w:proofErr w:type="spellEnd"/>
            <w:r w:rsidR="00525DEE">
              <w:rPr>
                <w:sz w:val="24"/>
                <w:szCs w:val="24"/>
                <w:lang w:eastAsia="zh-CN"/>
              </w:rPr>
              <w:t xml:space="preserve"> і описів справ за минулі роки;</w:t>
            </w:r>
          </w:p>
          <w:p w14:paraId="333A1DB8" w14:textId="592B4A47" w:rsidR="00774A88" w:rsidRPr="00774A88" w:rsidRDefault="00774A88" w:rsidP="00525DEE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д</w:t>
            </w:r>
            <w:r w:rsidRPr="00774A88">
              <w:rPr>
                <w:sz w:val="24"/>
                <w:szCs w:val="24"/>
                <w:lang w:eastAsia="zh-CN"/>
              </w:rPr>
              <w:t xml:space="preserve">окументальне оформлення вступу на державну службу в окружній прокуратурі,  її проходження та припинення.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525DEE">
              <w:rPr>
                <w:sz w:val="24"/>
                <w:szCs w:val="24"/>
                <w:lang w:eastAsia="zh-CN"/>
              </w:rPr>
              <w:t>Р</w:t>
            </w:r>
            <w:r w:rsidRPr="00774A88">
              <w:rPr>
                <w:sz w:val="24"/>
                <w:szCs w:val="24"/>
                <w:lang w:eastAsia="zh-CN"/>
              </w:rPr>
              <w:t xml:space="preserve">озроблення посадових інструкцій державних службовців окружної прокуратури та подання їх на затвердження керівнику. Підготовка </w:t>
            </w:r>
            <w:proofErr w:type="spellStart"/>
            <w:r w:rsidRPr="00774A88">
              <w:rPr>
                <w:sz w:val="24"/>
                <w:szCs w:val="24"/>
                <w:lang w:eastAsia="zh-CN"/>
              </w:rPr>
              <w:t>проєктів</w:t>
            </w:r>
            <w:proofErr w:type="spellEnd"/>
            <w:r w:rsidRPr="00774A88">
              <w:rPr>
                <w:sz w:val="24"/>
                <w:szCs w:val="24"/>
                <w:lang w:eastAsia="zh-CN"/>
              </w:rPr>
              <w:t xml:space="preserve"> наказів з кадрових питань. Здійснення організаційного та документального забезпечення проведення перевірок відповідно до Зако</w:t>
            </w:r>
            <w:r w:rsidR="00525DEE">
              <w:rPr>
                <w:sz w:val="24"/>
                <w:szCs w:val="24"/>
                <w:lang w:eastAsia="zh-CN"/>
              </w:rPr>
              <w:t>ну України "Про очищення влади";</w:t>
            </w:r>
          </w:p>
          <w:p w14:paraId="5792E1AD" w14:textId="4145F40F" w:rsidR="00774A88" w:rsidRPr="00774A88" w:rsidRDefault="00774A88" w:rsidP="00774A8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з</w:t>
            </w:r>
            <w:r w:rsidRPr="00774A88">
              <w:rPr>
                <w:sz w:val="24"/>
                <w:szCs w:val="24"/>
                <w:lang w:eastAsia="zh-CN"/>
              </w:rPr>
              <w:t>абезпечення обліку, ведення, зберігання особових справ, трудових книжок державних службовців та робітників окружної прокуратури відповідно до норм чинного законодавства. Здійснення обліку використання робочого часу пр</w:t>
            </w:r>
            <w:r w:rsidR="00525DEE">
              <w:rPr>
                <w:sz w:val="24"/>
                <w:szCs w:val="24"/>
                <w:lang w:eastAsia="zh-CN"/>
              </w:rPr>
              <w:t>ацівниками окружної прокуратури;</w:t>
            </w:r>
          </w:p>
          <w:p w14:paraId="0129D18A" w14:textId="6A7A327C" w:rsidR="00525DEE" w:rsidRDefault="00525DEE" w:rsidP="00525DEE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п</w:t>
            </w:r>
            <w:r w:rsidR="00774A88" w:rsidRPr="00774A88">
              <w:rPr>
                <w:sz w:val="24"/>
                <w:szCs w:val="24"/>
                <w:lang w:eastAsia="zh-CN"/>
              </w:rPr>
              <w:t xml:space="preserve">ідготовка </w:t>
            </w:r>
            <w:proofErr w:type="spellStart"/>
            <w:r w:rsidR="00774A88" w:rsidRPr="00774A88">
              <w:rPr>
                <w:sz w:val="24"/>
                <w:szCs w:val="24"/>
                <w:lang w:eastAsia="zh-CN"/>
              </w:rPr>
              <w:t>проєктів</w:t>
            </w:r>
            <w:proofErr w:type="spellEnd"/>
            <w:r w:rsidR="00774A88" w:rsidRPr="00774A88">
              <w:rPr>
                <w:sz w:val="24"/>
                <w:szCs w:val="24"/>
                <w:lang w:eastAsia="zh-CN"/>
              </w:rPr>
              <w:t xml:space="preserve"> документів та наказів за дорученням керівника окружної прокуратури, Тиражування необхідних документів, друк службової кореспонденції та ознайомлення працівників окружної прокуратури з відповідними документами. </w:t>
            </w:r>
            <w:r w:rsidR="00774A88">
              <w:rPr>
                <w:sz w:val="24"/>
                <w:szCs w:val="24"/>
                <w:lang w:eastAsia="zh-CN"/>
              </w:rPr>
              <w:t xml:space="preserve"> </w:t>
            </w:r>
            <w:r w:rsidR="00774A88" w:rsidRPr="00774A88">
              <w:rPr>
                <w:sz w:val="24"/>
                <w:szCs w:val="24"/>
                <w:lang w:eastAsia="zh-CN"/>
              </w:rPr>
              <w:lastRenderedPageBreak/>
              <w:t>Забезпечення збереження конфіденційної інформації, інформації про громадян, що стала йому відома під час виконання обов’язків, а також іншої інформації, яка згідно з законодавством не підлягає розголошенню. Виконання обов’язків головного спеціаліста з питань захисту державних таємниць окружної прок</w:t>
            </w:r>
            <w:r>
              <w:rPr>
                <w:sz w:val="24"/>
                <w:szCs w:val="24"/>
                <w:lang w:eastAsia="zh-CN"/>
              </w:rPr>
              <w:t>уратури в разі його відсутності;</w:t>
            </w:r>
          </w:p>
          <w:p w14:paraId="4CFA0F3D" w14:textId="16E598F6" w:rsidR="00774A88" w:rsidRPr="00104EC7" w:rsidRDefault="00525DEE" w:rsidP="00525DEE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  <w:r w:rsidR="00774A88">
              <w:rPr>
                <w:sz w:val="24"/>
                <w:szCs w:val="24"/>
                <w:lang w:eastAsia="zh-CN"/>
              </w:rPr>
              <w:t>-  в</w:t>
            </w:r>
            <w:r w:rsidR="00774A88" w:rsidRPr="00774A88">
              <w:rPr>
                <w:sz w:val="24"/>
                <w:szCs w:val="24"/>
                <w:lang w:eastAsia="zh-CN"/>
              </w:rPr>
              <w:t>несення пропозицій щодо матеріально-технічного забезпечення окружної прокуратури, забезпечення своєчасного отримання канцелярських матеріалів. Забезпечення інвентарного обліку та списання матеріальних цінностей окружної прокуратури,  участь у щорічній інвентаризації.</w:t>
            </w:r>
          </w:p>
        </w:tc>
      </w:tr>
      <w:tr w:rsidR="00A02976" w:rsidRPr="00FB1754" w14:paraId="7E115C87" w14:textId="77777777" w:rsidTr="00F41AF4">
        <w:trPr>
          <w:trHeight w:val="58"/>
        </w:trPr>
        <w:tc>
          <w:tcPr>
            <w:tcW w:w="2694" w:type="dxa"/>
            <w:gridSpan w:val="2"/>
          </w:tcPr>
          <w:p w14:paraId="75B0ACF4" w14:textId="77777777" w:rsidR="00A02976" w:rsidRPr="00FB1754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 xml:space="preserve">Умови оплати праці </w:t>
            </w:r>
          </w:p>
        </w:tc>
        <w:tc>
          <w:tcPr>
            <w:tcW w:w="7229" w:type="dxa"/>
            <w:gridSpan w:val="2"/>
          </w:tcPr>
          <w:p w14:paraId="15E7F0E6" w14:textId="2552AA51" w:rsidR="00A02976" w:rsidRPr="00801508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 w:rsidR="00B76207">
              <w:rPr>
                <w:sz w:val="24"/>
              </w:rPr>
              <w:t xml:space="preserve">, </w:t>
            </w:r>
            <w:r>
              <w:rPr>
                <w:sz w:val="24"/>
              </w:rPr>
              <w:t>надбавки, доплати,</w:t>
            </w:r>
            <w:r w:rsidR="00B76207">
              <w:rPr>
                <w:sz w:val="24"/>
              </w:rPr>
              <w:t xml:space="preserve"> </w:t>
            </w:r>
            <w:r>
              <w:rPr>
                <w:sz w:val="24"/>
              </w:rPr>
              <w:t>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 xml:space="preserve">їни «Про Державний бюджет України </w:t>
            </w:r>
            <w:r w:rsidR="00B76207"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на 2024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</w:t>
            </w:r>
            <w:r w:rsidR="00B76207">
              <w:rPr>
                <w:sz w:val="24"/>
              </w:rPr>
              <w:t xml:space="preserve"> </w:t>
            </w:r>
            <w:r>
              <w:rPr>
                <w:sz w:val="24"/>
              </w:rPr>
              <w:t>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 xml:space="preserve">, </w:t>
            </w:r>
            <w:r w:rsidR="00B76207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від 29.12.2023 № 1409 «Питання оплати праці державних службовців на основі класифікації посад у 2024 році».</w:t>
            </w:r>
          </w:p>
        </w:tc>
      </w:tr>
      <w:tr w:rsidR="00A02976" w:rsidRPr="00FB1754" w14:paraId="053646A2" w14:textId="77777777" w:rsidTr="003D34C2">
        <w:tc>
          <w:tcPr>
            <w:tcW w:w="2694" w:type="dxa"/>
            <w:gridSpan w:val="2"/>
          </w:tcPr>
          <w:p w14:paraId="7B1790FD" w14:textId="4DC61F30" w:rsidR="00A02976" w:rsidRPr="00801508" w:rsidRDefault="00A02976" w:rsidP="00A02976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229" w:type="dxa"/>
            <w:gridSpan w:val="2"/>
          </w:tcPr>
          <w:p w14:paraId="49065379" w14:textId="7CBA6FE0" w:rsidR="00A02976" w:rsidRPr="00432A05" w:rsidRDefault="00A02976" w:rsidP="00A02976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</w:t>
            </w:r>
            <w:r>
              <w:rPr>
                <w:sz w:val="24"/>
                <w:szCs w:val="24"/>
              </w:rPr>
              <w:t xml:space="preserve">  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39ACDFF1" w:rsidR="00A02976" w:rsidRPr="00FB1754" w:rsidRDefault="00A02976" w:rsidP="00A02976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 xml:space="preserve">Строк призначення особи, яка досягла 65-річного віку, становить один рік з правом повторного призначення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A02976" w:rsidRPr="00FB1754" w14:paraId="49C57FB3" w14:textId="77777777" w:rsidTr="003D34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A02976" w:rsidRPr="00FB1754" w:rsidRDefault="00A02976" w:rsidP="00A02976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3D1A4701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 про призначення на посаду на період дії воєнного стану (з підписом);</w:t>
            </w:r>
          </w:p>
          <w:p w14:paraId="1F4BA33D" w14:textId="3B54D9FF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               № 246);</w:t>
            </w:r>
          </w:p>
          <w:p w14:paraId="33C219E0" w14:textId="477B7A56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(з підписом); </w:t>
            </w:r>
          </w:p>
          <w:p w14:paraId="3867817D" w14:textId="77777777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49A28933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                      від прийняття реєстраційного номера облікової картки платника податків та повідомили про це відповідний контролюючий орган           і мають відмітку у паспорті);</w:t>
            </w:r>
          </w:p>
          <w:p w14:paraId="1776DB34" w14:textId="4DBECDD3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A02976" w:rsidRPr="005B1AB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="00B56957"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B56957">
              <w:rPr>
                <w:rFonts w:ascii="Times New Roman" w:hAnsi="Times New Roman" w:cs="Times New Roman"/>
                <w:sz w:val="24"/>
              </w:rPr>
              <w:t xml:space="preserve">або </w:t>
            </w:r>
            <w:r w:rsidR="00082EA8">
              <w:rPr>
                <w:rFonts w:ascii="Times New Roman" w:hAnsi="Times New Roman" w:cs="Times New Roman"/>
                <w:sz w:val="24"/>
              </w:rPr>
              <w:t>В</w:t>
            </w:r>
            <w:r w:rsidR="00082EA8"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 w:rsidR="00082EA8"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="00082EA8"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="00082EA8"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="00082EA8"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2542BC9E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                             на проходження перевірки та на оприлюднення відомостей стосовно неї відповідно до зазначеного Закону або завірена                          в установленому порядку копія довідки про результати проведення перевірки відповідно до Закону України «Про очищення влади»     (за наявності);</w:t>
            </w:r>
          </w:p>
          <w:p w14:paraId="196018B1" w14:textId="77777777" w:rsidR="00543F1E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A02976" w:rsidRPr="00543F1E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63BCA710" w:rsidR="00A02976" w:rsidRPr="001F026C" w:rsidRDefault="00A02976" w:rsidP="004E2D0E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 w:rsidRPr="004F347F"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B56957" w:rsidRPr="004F347F">
              <w:rPr>
                <w:rFonts w:cs="Times New Roman"/>
                <w:b/>
                <w:bCs/>
                <w:sz w:val="24"/>
              </w:rPr>
              <w:t>16</w:t>
            </w:r>
            <w:r w:rsidR="00B56957" w:rsidRPr="004F347F">
              <w:rPr>
                <w:rFonts w:cs="Times New Roman"/>
                <w:b/>
                <w:bCs/>
                <w:sz w:val="24"/>
                <w:lang w:val="ru-RU"/>
              </w:rPr>
              <w:t xml:space="preserve">:45 </w:t>
            </w:r>
            <w:r w:rsidR="00E10ACB" w:rsidRPr="004F347F">
              <w:rPr>
                <w:rFonts w:cs="Times New Roman"/>
                <w:b/>
                <w:bCs/>
                <w:sz w:val="24"/>
              </w:rPr>
              <w:t>30</w:t>
            </w:r>
            <w:r w:rsidRPr="004F347F">
              <w:rPr>
                <w:rFonts w:cs="Times New Roman"/>
                <w:b/>
                <w:bCs/>
                <w:sz w:val="24"/>
              </w:rPr>
              <w:t xml:space="preserve"> </w:t>
            </w:r>
            <w:r w:rsidR="004E2D0E" w:rsidRPr="004F347F">
              <w:rPr>
                <w:rFonts w:cs="Times New Roman"/>
                <w:b/>
                <w:bCs/>
                <w:sz w:val="24"/>
              </w:rPr>
              <w:t>серпня</w:t>
            </w:r>
            <w:r w:rsidRPr="004F347F">
              <w:rPr>
                <w:rFonts w:cs="Times New Roman"/>
                <w:b/>
                <w:bCs/>
                <w:sz w:val="24"/>
              </w:rPr>
              <w:t xml:space="preserve"> 2024 року</w:t>
            </w:r>
            <w:r w:rsidRPr="004F347F">
              <w:rPr>
                <w:rFonts w:cs="Times New Roman"/>
                <w:sz w:val="24"/>
              </w:rPr>
              <w:t xml:space="preserve"> </w:t>
            </w:r>
            <w:r w:rsidRPr="004F347F">
              <w:rPr>
                <w:rFonts w:cs="Times New Roman"/>
                <w:b/>
                <w:bCs/>
                <w:sz w:val="24"/>
              </w:rPr>
              <w:t>включно</w:t>
            </w:r>
            <w:r w:rsidR="00B56957" w:rsidRPr="004F347F">
              <w:rPr>
                <w:rFonts w:cs="Times New Roman"/>
                <w:sz w:val="24"/>
                <w:lang w:val="ru-RU"/>
              </w:rPr>
              <w:t xml:space="preserve"> </w:t>
            </w:r>
            <w:r w:rsidRPr="00913937">
              <w:rPr>
                <w:rFonts w:cs="Times New Roman"/>
                <w:b/>
                <w:sz w:val="24"/>
              </w:rPr>
              <w:t>на</w:t>
            </w:r>
            <w:r w:rsidRPr="004F347F">
              <w:rPr>
                <w:rFonts w:cs="Times New Roman"/>
                <w:sz w:val="24"/>
              </w:rPr>
              <w:t xml:space="preserve"> </w:t>
            </w:r>
            <w:r w:rsidRPr="004F347F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r w:rsidR="00B30DB0" w:rsidRPr="004F347F">
              <w:rPr>
                <w:rStyle w:val="ae"/>
                <w:color w:val="1F2C4F"/>
                <w:sz w:val="24"/>
                <w:szCs w:val="24"/>
                <w:shd w:val="clear" w:color="auto" w:fill="FFFFFF"/>
              </w:rPr>
              <w:t>rewitilovskij@pol.gp.gov.ua</w:t>
            </w:r>
            <w:r w:rsidRPr="004F347F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4F347F">
              <w:rPr>
                <w:rFonts w:cs="Times New Roman"/>
                <w:sz w:val="24"/>
              </w:rPr>
              <w:t xml:space="preserve"> </w:t>
            </w:r>
            <w:r w:rsidRPr="00913937">
              <w:rPr>
                <w:rFonts w:cs="Times New Roman"/>
                <w:b/>
                <w:sz w:val="24"/>
              </w:rPr>
              <w:t>або</w:t>
            </w:r>
            <w:r w:rsidRPr="004F347F">
              <w:rPr>
                <w:rFonts w:cs="Times New Roman"/>
                <w:sz w:val="24"/>
              </w:rPr>
              <w:t xml:space="preserve"> </w:t>
            </w:r>
            <w:r w:rsidRPr="004F347F"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 w:rsidRPr="004F347F">
              <w:rPr>
                <w:rFonts w:cs="Times New Roman"/>
                <w:sz w:val="24"/>
              </w:rPr>
              <w:t xml:space="preserve"> у </w:t>
            </w:r>
            <w:r w:rsidR="00E10ACB" w:rsidRPr="004F347F">
              <w:rPr>
                <w:rFonts w:cs="Times New Roman"/>
                <w:sz w:val="24"/>
              </w:rPr>
              <w:t>Решетилівській окружній</w:t>
            </w:r>
            <w:r w:rsidR="00E10ACB">
              <w:rPr>
                <w:rFonts w:cs="Times New Roman"/>
                <w:sz w:val="24"/>
              </w:rPr>
              <w:t xml:space="preserve"> прокуратурі Полтавської області за адресою: </w:t>
            </w:r>
            <w:r w:rsidR="00E10ACB" w:rsidRPr="00E10ACB">
              <w:rPr>
                <w:rFonts w:cs="Times New Roman"/>
                <w:sz w:val="24"/>
              </w:rPr>
              <w:t xml:space="preserve">вул. Покровська, буд. 22, м. </w:t>
            </w:r>
            <w:proofErr w:type="spellStart"/>
            <w:r w:rsidR="00E10ACB" w:rsidRPr="00E10ACB">
              <w:rPr>
                <w:rFonts w:cs="Times New Roman"/>
                <w:sz w:val="24"/>
              </w:rPr>
              <w:t>Решетилівка</w:t>
            </w:r>
            <w:proofErr w:type="spellEnd"/>
            <w:r w:rsidR="00E10ACB" w:rsidRPr="00E10ACB">
              <w:rPr>
                <w:rFonts w:cs="Times New Roman"/>
                <w:sz w:val="24"/>
              </w:rPr>
              <w:t xml:space="preserve">, Полтавська обл., 38400 </w:t>
            </w:r>
          </w:p>
        </w:tc>
      </w:tr>
      <w:tr w:rsidR="00A02976" w:rsidRPr="00FB1754" w14:paraId="6EFA3C01" w14:textId="77777777" w:rsidTr="003D34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A02976" w:rsidRDefault="00A02976" w:rsidP="00A02976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Прізвище, ім’я та </w:t>
            </w:r>
          </w:p>
          <w:p w14:paraId="24EE8720" w14:textId="54668AFD" w:rsidR="00A02976" w:rsidRPr="00FB1754" w:rsidRDefault="00A02976" w:rsidP="00A02976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0BE" w14:textId="0BD53B87" w:rsidR="00A02976" w:rsidRPr="004F347F" w:rsidRDefault="004F347F" w:rsidP="00A0297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F347F">
              <w:rPr>
                <w:rFonts w:cs="Times New Roman"/>
                <w:sz w:val="24"/>
                <w:szCs w:val="24"/>
                <w:lang w:val="ru-RU"/>
              </w:rPr>
              <w:t>Людмила ПАНЧЕНКО</w:t>
            </w:r>
          </w:p>
          <w:p w14:paraId="575D992A" w14:textId="77777777" w:rsidR="00A02976" w:rsidRPr="004F347F" w:rsidRDefault="004F347F" w:rsidP="00A02976">
            <w:pPr>
              <w:rPr>
                <w:rStyle w:val="ae"/>
                <w:b w:val="0"/>
                <w:color w:val="1F2C4F"/>
                <w:sz w:val="24"/>
                <w:szCs w:val="24"/>
                <w:shd w:val="clear" w:color="auto" w:fill="FFFFFF"/>
              </w:rPr>
            </w:pPr>
            <w:r w:rsidRPr="004F347F">
              <w:rPr>
                <w:rStyle w:val="ae"/>
                <w:b w:val="0"/>
                <w:color w:val="1F2C4F"/>
                <w:sz w:val="24"/>
                <w:szCs w:val="24"/>
                <w:shd w:val="clear" w:color="auto" w:fill="FFFFFF"/>
              </w:rPr>
              <w:t>rewitilovskij@pol.gp.gov.ua</w:t>
            </w:r>
          </w:p>
          <w:p w14:paraId="775E128A" w14:textId="01422575" w:rsidR="004F347F" w:rsidRPr="004F347F" w:rsidRDefault="004F347F" w:rsidP="00A02976">
            <w:pPr>
              <w:rPr>
                <w:b/>
                <w:sz w:val="8"/>
                <w:szCs w:val="8"/>
              </w:rPr>
            </w:pPr>
            <w:r w:rsidRPr="004F347F">
              <w:rPr>
                <w:rStyle w:val="ae"/>
                <w:b w:val="0"/>
                <w:color w:val="1F2C4F"/>
              </w:rPr>
              <w:t>(05363) 2-11-31</w:t>
            </w:r>
          </w:p>
        </w:tc>
      </w:tr>
      <w:tr w:rsidR="00A02976" w:rsidRPr="00FB1754" w14:paraId="05868B1E" w14:textId="77777777" w:rsidTr="003D34C2">
        <w:tc>
          <w:tcPr>
            <w:tcW w:w="9923" w:type="dxa"/>
            <w:gridSpan w:val="4"/>
          </w:tcPr>
          <w:p w14:paraId="10DCE695" w14:textId="665C0F3A" w:rsidR="00A02976" w:rsidRPr="00FB1754" w:rsidRDefault="00A02976" w:rsidP="00A02976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</w:tc>
      </w:tr>
      <w:tr w:rsidR="00A02976" w:rsidRPr="00FB1754" w14:paraId="433FB299" w14:textId="77777777" w:rsidTr="00FF427C">
        <w:tc>
          <w:tcPr>
            <w:tcW w:w="572" w:type="dxa"/>
          </w:tcPr>
          <w:p w14:paraId="1593BF17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07C3F054" w:rsidR="00A02976" w:rsidRPr="00D53F0B" w:rsidRDefault="00A02976" w:rsidP="00A02976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вища освіта не нижче ступеня </w:t>
            </w:r>
            <w:r w:rsidRPr="00294997">
              <w:rPr>
                <w:rFonts w:cs="Times New Roman"/>
                <w:sz w:val="24"/>
                <w:szCs w:val="24"/>
                <w:shd w:val="clear" w:color="auto" w:fill="FFFFFF"/>
              </w:rPr>
              <w:t>бакалавра, молодшого бакалавра</w:t>
            </w:r>
          </w:p>
        </w:tc>
      </w:tr>
      <w:tr w:rsidR="00A02976" w:rsidRPr="00FB1754" w14:paraId="11CC1BB4" w14:textId="77777777" w:rsidTr="00FF427C">
        <w:tc>
          <w:tcPr>
            <w:tcW w:w="572" w:type="dxa"/>
          </w:tcPr>
          <w:p w14:paraId="7DB37EC1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A02976" w:rsidRPr="005B1AB6" w:rsidRDefault="00A02976" w:rsidP="00A0297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A02976" w:rsidRPr="00FB1754" w14:paraId="165988D9" w14:textId="77777777" w:rsidTr="00FF427C">
        <w:trPr>
          <w:trHeight w:val="270"/>
        </w:trPr>
        <w:tc>
          <w:tcPr>
            <w:tcW w:w="572" w:type="dxa"/>
          </w:tcPr>
          <w:p w14:paraId="5E4F8B13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804" w:type="dxa"/>
          </w:tcPr>
          <w:p w14:paraId="63FDB019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A02976" w:rsidRPr="00FB1754" w14:paraId="201CF802" w14:textId="77777777" w:rsidTr="003D34C2">
        <w:tc>
          <w:tcPr>
            <w:tcW w:w="9923" w:type="dxa"/>
            <w:gridSpan w:val="4"/>
            <w:vAlign w:val="center"/>
          </w:tcPr>
          <w:p w14:paraId="03E3B78A" w14:textId="77777777" w:rsidR="00A02976" w:rsidRPr="008D2A80" w:rsidRDefault="00A02976" w:rsidP="00A02976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A02976" w:rsidRPr="008D2A80" w:rsidRDefault="00A02976" w:rsidP="00A02976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A02976" w:rsidRPr="00FB1754" w14:paraId="3FDCFBBB" w14:textId="77777777" w:rsidTr="00FF427C">
        <w:trPr>
          <w:trHeight w:val="198"/>
        </w:trPr>
        <w:tc>
          <w:tcPr>
            <w:tcW w:w="572" w:type="dxa"/>
          </w:tcPr>
          <w:p w14:paraId="12633401" w14:textId="77777777" w:rsidR="00A02976" w:rsidRPr="00FB1754" w:rsidRDefault="00A02976" w:rsidP="00A02976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A02976" w:rsidRPr="005B1AB6" w:rsidRDefault="00A02976" w:rsidP="00A02976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A02976" w:rsidRPr="008D2A80" w:rsidRDefault="00A02976" w:rsidP="00A02976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A02976" w:rsidRPr="008D2A80" w:rsidRDefault="00A02976" w:rsidP="00A02976">
            <w:pPr>
              <w:rPr>
                <w:b/>
                <w:sz w:val="4"/>
                <w:szCs w:val="4"/>
              </w:rPr>
            </w:pPr>
          </w:p>
        </w:tc>
      </w:tr>
      <w:tr w:rsidR="00A02976" w:rsidRPr="00FB1754" w14:paraId="2A660972" w14:textId="77777777" w:rsidTr="00FF427C">
        <w:trPr>
          <w:trHeight w:val="144"/>
        </w:trPr>
        <w:tc>
          <w:tcPr>
            <w:tcW w:w="572" w:type="dxa"/>
          </w:tcPr>
          <w:p w14:paraId="1BB21B10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20FC8417" w:rsidR="00A02976" w:rsidRPr="007C4729" w:rsidRDefault="00A02976" w:rsidP="00A02976">
            <w:pPr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9F75DE">
              <w:rPr>
                <w:rFonts w:cs="Times New Roman"/>
                <w:sz w:val="24"/>
                <w:szCs w:val="24"/>
              </w:rPr>
              <w:t>Багатозадачність</w:t>
            </w:r>
            <w:proofErr w:type="spellEnd"/>
          </w:p>
        </w:tc>
        <w:tc>
          <w:tcPr>
            <w:tcW w:w="6804" w:type="dxa"/>
          </w:tcPr>
          <w:p w14:paraId="12643748" w14:textId="18E1DA01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концентрувати (не втрачати) увагу на виконанні завдання;</w:t>
            </w:r>
          </w:p>
          <w:p w14:paraId="29A97F3A" w14:textId="575715AD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уміння розкладати завдання на процеси, спрощувати їх;</w:t>
            </w:r>
          </w:p>
          <w:p w14:paraId="6682A524" w14:textId="2134CCF8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швидко змінювати напрям роботи (діяльності);</w:t>
            </w:r>
          </w:p>
          <w:p w14:paraId="412B04DA" w14:textId="25D8D3CC" w:rsidR="00A02976" w:rsidRPr="00331F7F" w:rsidRDefault="00A02976" w:rsidP="00A02976">
            <w:pPr>
              <w:widowControl w:val="0"/>
              <w:tabs>
                <w:tab w:val="left" w:pos="360"/>
                <w:tab w:val="left" w:pos="457"/>
              </w:tabs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 w:rsidRPr="00331F7F">
              <w:rPr>
                <w:rFonts w:cs="Times New Roman"/>
                <w:sz w:val="24"/>
                <w:szCs w:val="24"/>
              </w:rPr>
              <w:t> уміння управляти результатом і бачити прогрес.</w:t>
            </w:r>
          </w:p>
        </w:tc>
      </w:tr>
      <w:tr w:rsidR="00A02976" w:rsidRPr="00FB1754" w14:paraId="7813303F" w14:textId="77777777" w:rsidTr="00FF427C">
        <w:trPr>
          <w:trHeight w:val="333"/>
        </w:trPr>
        <w:tc>
          <w:tcPr>
            <w:tcW w:w="572" w:type="dxa"/>
          </w:tcPr>
          <w:p w14:paraId="2785239F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39B44FFF" w14:textId="347CB89C" w:rsidR="00A02976" w:rsidRPr="007C4729" w:rsidRDefault="00A02976" w:rsidP="00A02976">
            <w:pPr>
              <w:jc w:val="left"/>
              <w:rPr>
                <w:sz w:val="12"/>
                <w:szCs w:val="12"/>
                <w:highlight w:val="yellow"/>
              </w:rPr>
            </w:pPr>
            <w:r w:rsidRPr="00780709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804" w:type="dxa"/>
          </w:tcPr>
          <w:p w14:paraId="2FC3016E" w14:textId="20AD762E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розуміння ваги свого внеску у загальний результат</w:t>
            </w:r>
            <w:r>
              <w:rPr>
                <w:rFonts w:cs="Times New Roman"/>
                <w:sz w:val="24"/>
                <w:szCs w:val="24"/>
              </w:rPr>
              <w:t xml:space="preserve"> відділу</w:t>
            </w:r>
            <w:r w:rsidRPr="00294997">
              <w:rPr>
                <w:rFonts w:cs="Times New Roman"/>
                <w:sz w:val="24"/>
                <w:szCs w:val="24"/>
              </w:rPr>
              <w:t>;</w:t>
            </w:r>
          </w:p>
          <w:p w14:paraId="671A9ABF" w14:textId="211DF6FB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орієнтація на командний результат;</w:t>
            </w:r>
          </w:p>
          <w:p w14:paraId="02AF7DAA" w14:textId="1E996DC0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14:paraId="028D0C08" w14:textId="3F9BF1C9" w:rsidR="00A02976" w:rsidRPr="007C4729" w:rsidRDefault="00A02976" w:rsidP="00A02976">
            <w:pPr>
              <w:pStyle w:val="a6"/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37"/>
              <w:jc w:val="both"/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A02976" w:rsidRPr="00FB1754" w14:paraId="40767C09" w14:textId="77777777" w:rsidTr="00FF427C">
        <w:trPr>
          <w:trHeight w:val="1907"/>
        </w:trPr>
        <w:tc>
          <w:tcPr>
            <w:tcW w:w="572" w:type="dxa"/>
          </w:tcPr>
          <w:p w14:paraId="132EDA93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0DA95086" w:rsidR="00A02976" w:rsidRPr="007C4729" w:rsidRDefault="00A02976" w:rsidP="00A02976">
            <w:pPr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Відповідальність </w:t>
            </w:r>
          </w:p>
        </w:tc>
        <w:tc>
          <w:tcPr>
            <w:tcW w:w="6804" w:type="dxa"/>
          </w:tcPr>
          <w:p w14:paraId="3382CC9E" w14:textId="3CFF8EB2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3BF09C1F" w14:textId="0947F92D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рівня відповідальності під час підготовки </w:t>
            </w: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294997">
              <w:rPr>
                <w:rFonts w:cs="Times New Roman"/>
                <w:sz w:val="24"/>
                <w:szCs w:val="24"/>
              </w:rPr>
              <w:t xml:space="preserve">і прийняття рішень, готовність нести відповідальність </w:t>
            </w: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294997">
              <w:rPr>
                <w:rFonts w:cs="Times New Roman"/>
                <w:sz w:val="24"/>
                <w:szCs w:val="24"/>
              </w:rPr>
              <w:t>за можливі наслідки реалізації таких рішень;</w:t>
            </w:r>
          </w:p>
          <w:p w14:paraId="33B1A0E7" w14:textId="38387D12" w:rsidR="00A02976" w:rsidRPr="007C4729" w:rsidRDefault="00A02976" w:rsidP="00A02976">
            <w:pPr>
              <w:pStyle w:val="a6"/>
              <w:widowControl w:val="0"/>
              <w:tabs>
                <w:tab w:val="left" w:pos="-108"/>
                <w:tab w:val="left" w:pos="360"/>
                <w:tab w:val="left" w:pos="447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A02976" w:rsidRPr="00FB1754" w14:paraId="6CFDFB8D" w14:textId="77777777" w:rsidTr="003D34C2">
        <w:tc>
          <w:tcPr>
            <w:tcW w:w="9923" w:type="dxa"/>
            <w:gridSpan w:val="4"/>
          </w:tcPr>
          <w:p w14:paraId="1C812F00" w14:textId="77777777" w:rsidR="00A02976" w:rsidRPr="00102CC7" w:rsidRDefault="00A02976" w:rsidP="00A02976">
            <w:pPr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A02976" w:rsidRPr="00102CC7" w:rsidRDefault="00A02976" w:rsidP="00A02976">
            <w:pPr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A02976" w:rsidRPr="00102CC7" w:rsidRDefault="00A02976" w:rsidP="00A02976">
            <w:pPr>
              <w:rPr>
                <w:sz w:val="4"/>
                <w:szCs w:val="4"/>
                <w:highlight w:val="yellow"/>
              </w:rPr>
            </w:pPr>
          </w:p>
        </w:tc>
      </w:tr>
      <w:tr w:rsidR="00A02976" w:rsidRPr="00FB1754" w14:paraId="4D0E0100" w14:textId="77777777" w:rsidTr="00FF427C">
        <w:trPr>
          <w:trHeight w:val="120"/>
        </w:trPr>
        <w:tc>
          <w:tcPr>
            <w:tcW w:w="572" w:type="dxa"/>
          </w:tcPr>
          <w:p w14:paraId="66A83839" w14:textId="77777777" w:rsidR="00A02976" w:rsidRPr="00FB1754" w:rsidRDefault="00A02976" w:rsidP="00A02976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A02976" w:rsidRPr="00FB1754" w:rsidRDefault="00A02976" w:rsidP="00A02976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A02976" w:rsidRPr="00102CC7" w:rsidRDefault="00A02976" w:rsidP="00A02976">
            <w:pPr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A02976" w:rsidRPr="00102CC7" w:rsidRDefault="00A02976" w:rsidP="00A02976">
            <w:pPr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A02976" w:rsidRPr="00FB1754" w14:paraId="18ED1A84" w14:textId="77777777" w:rsidTr="00FF427C">
        <w:trPr>
          <w:trHeight w:val="1440"/>
        </w:trPr>
        <w:tc>
          <w:tcPr>
            <w:tcW w:w="572" w:type="dxa"/>
          </w:tcPr>
          <w:p w14:paraId="2D493B30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6D706EA9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  <w:shd w:val="clear" w:color="auto" w:fill="auto"/>
          </w:tcPr>
          <w:p w14:paraId="632E5986" w14:textId="77777777" w:rsidR="00A02976" w:rsidRPr="00331F7F" w:rsidRDefault="00A02976" w:rsidP="00A02976">
            <w:pPr>
              <w:tabs>
                <w:tab w:val="left" w:pos="310"/>
              </w:tabs>
              <w:rPr>
                <w:rFonts w:cs="Times New Roman"/>
                <w:sz w:val="24"/>
                <w:szCs w:val="24"/>
                <w:u w:val="single"/>
              </w:rPr>
            </w:pPr>
            <w:r w:rsidRPr="00331F7F">
              <w:rPr>
                <w:rFonts w:cs="Times New Roman"/>
                <w:sz w:val="24"/>
                <w:szCs w:val="24"/>
                <w:u w:val="single"/>
              </w:rPr>
              <w:t>Знання:</w:t>
            </w:r>
          </w:p>
          <w:p w14:paraId="72A2B883" w14:textId="584F3161" w:rsidR="00A02976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00A55FEA" w14:textId="6006CCD5" w:rsidR="00A02976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4290B914" w:rsidR="00A02976" w:rsidRPr="00331F7F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законодавства.</w:t>
            </w:r>
          </w:p>
        </w:tc>
      </w:tr>
      <w:tr w:rsidR="00A02976" w:rsidRPr="00FB1754" w14:paraId="7F952465" w14:textId="77777777" w:rsidTr="00FF427C">
        <w:trPr>
          <w:trHeight w:val="699"/>
        </w:trPr>
        <w:tc>
          <w:tcPr>
            <w:tcW w:w="572" w:type="dxa"/>
          </w:tcPr>
          <w:p w14:paraId="5B1F087A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509517F2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 xml:space="preserve">Знання законодавства </w:t>
            </w:r>
          </w:p>
          <w:p w14:paraId="02C480C6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>у сфері</w:t>
            </w:r>
          </w:p>
        </w:tc>
        <w:tc>
          <w:tcPr>
            <w:tcW w:w="6804" w:type="dxa"/>
            <w:shd w:val="clear" w:color="auto" w:fill="auto"/>
          </w:tcPr>
          <w:p w14:paraId="2DBA8B2E" w14:textId="77777777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331F7F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B8EA211" w14:textId="6C7B7C46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eastAsia="Arial Unicode MS" w:cs="Times New Roman"/>
                <w:sz w:val="24"/>
                <w:szCs w:val="24"/>
              </w:rPr>
              <w:t xml:space="preserve">Закону України «Про прокуратуру»; </w:t>
            </w:r>
          </w:p>
          <w:p w14:paraId="065625FD" w14:textId="46AB4C6A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cs="Times New Roman"/>
                <w:sz w:val="24"/>
                <w:szCs w:val="24"/>
              </w:rPr>
              <w:t xml:space="preserve">Закону України «Про звернення громадян»; </w:t>
            </w:r>
          </w:p>
          <w:p w14:paraId="264850B2" w14:textId="60607C40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cs="Times New Roman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15B47683" w14:textId="5DAB2947" w:rsidR="00A02976" w:rsidRDefault="00A02976" w:rsidP="00A02976">
            <w:pPr>
              <w:tabs>
                <w:tab w:val="left" w:pos="412"/>
              </w:tabs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 </w:t>
            </w:r>
            <w:r w:rsidRPr="00331F7F">
              <w:rPr>
                <w:rFonts w:eastAsia="Times New Roman" w:cs="Times New Roman"/>
                <w:sz w:val="24"/>
                <w:szCs w:val="24"/>
                <w:lang w:eastAsia="ru-RU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(зі змінами)</w:t>
            </w:r>
            <w:r w:rsidRPr="00331F7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F6A6443" w14:textId="6A65CD2C" w:rsidR="00A02976" w:rsidRPr="00331F7F" w:rsidRDefault="00A02976" w:rsidP="00A02976">
            <w:pPr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331F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27.09.2022 № 199.</w:t>
            </w:r>
          </w:p>
        </w:tc>
      </w:tr>
      <w:tr w:rsidR="00A02976" w:rsidRPr="00FB1754" w14:paraId="09C641C9" w14:textId="77777777" w:rsidTr="00FF427C">
        <w:trPr>
          <w:trHeight w:val="324"/>
        </w:trPr>
        <w:tc>
          <w:tcPr>
            <w:tcW w:w="572" w:type="dxa"/>
          </w:tcPr>
          <w:p w14:paraId="028763DD" w14:textId="1C9CA559" w:rsidR="00A02976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7" w:type="dxa"/>
            <w:gridSpan w:val="2"/>
          </w:tcPr>
          <w:p w14:paraId="1F0ECE62" w14:textId="764BCEAB" w:rsidR="00A02976" w:rsidRPr="00331F7F" w:rsidRDefault="00A02976" w:rsidP="00A02976">
            <w:pPr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161048D1" w14:textId="236BF2B0" w:rsidR="00A02976" w:rsidRPr="00331F7F" w:rsidRDefault="00A02976" w:rsidP="00A029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 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543F1E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BA62" w14:textId="77777777" w:rsidR="00CD5741" w:rsidRDefault="00CD5741">
      <w:r>
        <w:separator/>
      </w:r>
    </w:p>
  </w:endnote>
  <w:endnote w:type="continuationSeparator" w:id="0">
    <w:p w14:paraId="26191579" w14:textId="77777777" w:rsidR="00CD5741" w:rsidRDefault="00CD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57F06" w14:textId="77777777" w:rsidR="00CD5741" w:rsidRDefault="00CD5741">
      <w:r>
        <w:separator/>
      </w:r>
    </w:p>
  </w:footnote>
  <w:footnote w:type="continuationSeparator" w:id="0">
    <w:p w14:paraId="4A6A2DCA" w14:textId="77777777" w:rsidR="00CD5741" w:rsidRDefault="00CD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A494F1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D74136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9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6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24"/>
  </w:num>
  <w:num w:numId="5">
    <w:abstractNumId w:val="9"/>
  </w:num>
  <w:num w:numId="6">
    <w:abstractNumId w:val="10"/>
  </w:num>
  <w:num w:numId="7">
    <w:abstractNumId w:val="19"/>
  </w:num>
  <w:num w:numId="8">
    <w:abstractNumId w:val="27"/>
  </w:num>
  <w:num w:numId="9">
    <w:abstractNumId w:val="16"/>
  </w:num>
  <w:num w:numId="10">
    <w:abstractNumId w:val="11"/>
  </w:num>
  <w:num w:numId="11">
    <w:abstractNumId w:val="25"/>
  </w:num>
  <w:num w:numId="12">
    <w:abstractNumId w:val="3"/>
  </w:num>
  <w:num w:numId="13">
    <w:abstractNumId w:val="2"/>
  </w:num>
  <w:num w:numId="14">
    <w:abstractNumId w:val="7"/>
  </w:num>
  <w:num w:numId="15">
    <w:abstractNumId w:val="17"/>
  </w:num>
  <w:num w:numId="16">
    <w:abstractNumId w:val="22"/>
  </w:num>
  <w:num w:numId="17">
    <w:abstractNumId w:val="14"/>
  </w:num>
  <w:num w:numId="18">
    <w:abstractNumId w:val="0"/>
  </w:num>
  <w:num w:numId="19">
    <w:abstractNumId w:val="23"/>
  </w:num>
  <w:num w:numId="20">
    <w:abstractNumId w:val="5"/>
  </w:num>
  <w:num w:numId="21">
    <w:abstractNumId w:val="12"/>
  </w:num>
  <w:num w:numId="22">
    <w:abstractNumId w:val="21"/>
  </w:num>
  <w:num w:numId="23">
    <w:abstractNumId w:val="26"/>
  </w:num>
  <w:num w:numId="24">
    <w:abstractNumId w:val="1"/>
  </w:num>
  <w:num w:numId="25">
    <w:abstractNumId w:val="18"/>
  </w:num>
  <w:num w:numId="26">
    <w:abstractNumId w:val="13"/>
  </w:num>
  <w:num w:numId="27">
    <w:abstractNumId w:val="28"/>
  </w:num>
  <w:num w:numId="28">
    <w:abstractNumId w:val="15"/>
  </w:num>
  <w:num w:numId="29">
    <w:abstractNumId w:val="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E42A4"/>
    <w:rsid w:val="000E78B0"/>
    <w:rsid w:val="000F0251"/>
    <w:rsid w:val="000F32C0"/>
    <w:rsid w:val="000F4B56"/>
    <w:rsid w:val="00102CC7"/>
    <w:rsid w:val="00104EC7"/>
    <w:rsid w:val="001130FC"/>
    <w:rsid w:val="001145B0"/>
    <w:rsid w:val="00117086"/>
    <w:rsid w:val="00124BE2"/>
    <w:rsid w:val="001354A3"/>
    <w:rsid w:val="00136150"/>
    <w:rsid w:val="0014275E"/>
    <w:rsid w:val="00152FEC"/>
    <w:rsid w:val="001557CE"/>
    <w:rsid w:val="00162F12"/>
    <w:rsid w:val="00171824"/>
    <w:rsid w:val="001809E2"/>
    <w:rsid w:val="001B4820"/>
    <w:rsid w:val="001D4E6D"/>
    <w:rsid w:val="001D6497"/>
    <w:rsid w:val="001D6D6D"/>
    <w:rsid w:val="001D756C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544A"/>
    <w:rsid w:val="002871A4"/>
    <w:rsid w:val="002A45BB"/>
    <w:rsid w:val="002B0234"/>
    <w:rsid w:val="002C6E73"/>
    <w:rsid w:val="002D1015"/>
    <w:rsid w:val="00310653"/>
    <w:rsid w:val="00321539"/>
    <w:rsid w:val="00331F7F"/>
    <w:rsid w:val="00334ED8"/>
    <w:rsid w:val="003451DF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5BAD"/>
    <w:rsid w:val="00417C11"/>
    <w:rsid w:val="00432A05"/>
    <w:rsid w:val="004336FA"/>
    <w:rsid w:val="00451E16"/>
    <w:rsid w:val="00451E67"/>
    <w:rsid w:val="0045312E"/>
    <w:rsid w:val="004647CC"/>
    <w:rsid w:val="00466108"/>
    <w:rsid w:val="004774CD"/>
    <w:rsid w:val="0049629B"/>
    <w:rsid w:val="004A4354"/>
    <w:rsid w:val="004A4BC6"/>
    <w:rsid w:val="004A5D03"/>
    <w:rsid w:val="004B35BC"/>
    <w:rsid w:val="004D41AF"/>
    <w:rsid w:val="004D4EA2"/>
    <w:rsid w:val="004D5BD8"/>
    <w:rsid w:val="004D7D5C"/>
    <w:rsid w:val="004E2D0E"/>
    <w:rsid w:val="004E38A1"/>
    <w:rsid w:val="004E643E"/>
    <w:rsid w:val="004E7BED"/>
    <w:rsid w:val="004F347F"/>
    <w:rsid w:val="00500F51"/>
    <w:rsid w:val="00503386"/>
    <w:rsid w:val="005224A2"/>
    <w:rsid w:val="005248AF"/>
    <w:rsid w:val="00525DEE"/>
    <w:rsid w:val="00526D89"/>
    <w:rsid w:val="00530ACC"/>
    <w:rsid w:val="00543F1E"/>
    <w:rsid w:val="00564C90"/>
    <w:rsid w:val="005A2CB5"/>
    <w:rsid w:val="005A772C"/>
    <w:rsid w:val="005B1AB6"/>
    <w:rsid w:val="005B2D98"/>
    <w:rsid w:val="005C0408"/>
    <w:rsid w:val="005C6200"/>
    <w:rsid w:val="005E5D48"/>
    <w:rsid w:val="006226AF"/>
    <w:rsid w:val="00625B28"/>
    <w:rsid w:val="00637AB2"/>
    <w:rsid w:val="006467B3"/>
    <w:rsid w:val="006A7CB5"/>
    <w:rsid w:val="006B37B9"/>
    <w:rsid w:val="006B6B9E"/>
    <w:rsid w:val="006B6FA7"/>
    <w:rsid w:val="007176CC"/>
    <w:rsid w:val="00727AF8"/>
    <w:rsid w:val="00755D1C"/>
    <w:rsid w:val="00762DB0"/>
    <w:rsid w:val="00770170"/>
    <w:rsid w:val="00774A88"/>
    <w:rsid w:val="00777899"/>
    <w:rsid w:val="007869C6"/>
    <w:rsid w:val="007B5382"/>
    <w:rsid w:val="007C4729"/>
    <w:rsid w:val="007F310C"/>
    <w:rsid w:val="007F6942"/>
    <w:rsid w:val="00801508"/>
    <w:rsid w:val="008024F2"/>
    <w:rsid w:val="00825D78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9038DE"/>
    <w:rsid w:val="00913937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47E0"/>
    <w:rsid w:val="00A92A83"/>
    <w:rsid w:val="00AA7018"/>
    <w:rsid w:val="00AB775D"/>
    <w:rsid w:val="00AC1AB6"/>
    <w:rsid w:val="00AC309A"/>
    <w:rsid w:val="00AC530D"/>
    <w:rsid w:val="00AC7D0B"/>
    <w:rsid w:val="00AD61A5"/>
    <w:rsid w:val="00AE275C"/>
    <w:rsid w:val="00AE7038"/>
    <w:rsid w:val="00AF4900"/>
    <w:rsid w:val="00B04C67"/>
    <w:rsid w:val="00B16393"/>
    <w:rsid w:val="00B16440"/>
    <w:rsid w:val="00B2620B"/>
    <w:rsid w:val="00B30DB0"/>
    <w:rsid w:val="00B47E15"/>
    <w:rsid w:val="00B56957"/>
    <w:rsid w:val="00B63B55"/>
    <w:rsid w:val="00B6686B"/>
    <w:rsid w:val="00B67CCA"/>
    <w:rsid w:val="00B70A36"/>
    <w:rsid w:val="00B75300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7791"/>
    <w:rsid w:val="00BD395D"/>
    <w:rsid w:val="00BD5DEA"/>
    <w:rsid w:val="00BD7980"/>
    <w:rsid w:val="00BE5C2B"/>
    <w:rsid w:val="00BF275F"/>
    <w:rsid w:val="00C00481"/>
    <w:rsid w:val="00C0504C"/>
    <w:rsid w:val="00C334BE"/>
    <w:rsid w:val="00C66334"/>
    <w:rsid w:val="00C73AC8"/>
    <w:rsid w:val="00C857E9"/>
    <w:rsid w:val="00CB21A9"/>
    <w:rsid w:val="00CB4055"/>
    <w:rsid w:val="00CD5003"/>
    <w:rsid w:val="00CD5741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669AA"/>
    <w:rsid w:val="00D675CF"/>
    <w:rsid w:val="00D70414"/>
    <w:rsid w:val="00D74136"/>
    <w:rsid w:val="00D75DD8"/>
    <w:rsid w:val="00D92512"/>
    <w:rsid w:val="00DB3FD8"/>
    <w:rsid w:val="00DB591C"/>
    <w:rsid w:val="00DD1982"/>
    <w:rsid w:val="00DD1F08"/>
    <w:rsid w:val="00DD2BFC"/>
    <w:rsid w:val="00DF4A08"/>
    <w:rsid w:val="00DF689F"/>
    <w:rsid w:val="00E070E6"/>
    <w:rsid w:val="00E10ACB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EF334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9380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о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styleId="ae">
    <w:name w:val="Strong"/>
    <w:basedOn w:val="a0"/>
    <w:uiPriority w:val="22"/>
    <w:qFormat/>
    <w:rsid w:val="00B30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E70F0-80F6-482C-B00D-3A523CAC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5473</Words>
  <Characters>3120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Пастушок Ольга Михайлівна</dc:creator>
  <cp:lastModifiedBy>User</cp:lastModifiedBy>
  <cp:revision>12</cp:revision>
  <cp:lastPrinted>2024-03-12T15:25:00Z</cp:lastPrinted>
  <dcterms:created xsi:type="dcterms:W3CDTF">2024-08-26T12:18:00Z</dcterms:created>
  <dcterms:modified xsi:type="dcterms:W3CDTF">2024-08-26T13:15:00Z</dcterms:modified>
</cp:coreProperties>
</file>