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683F17E9" w:rsidR="00432A05" w:rsidRPr="008C0662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 w:rsidRPr="008C0662">
        <w:rPr>
          <w:rFonts w:eastAsia="Times New Roman" w:cs="Times New Roman"/>
          <w:b/>
          <w:szCs w:val="28"/>
        </w:rPr>
        <w:t>ОПИС ВАКАНТНОЇ ПОСАДИ</w:t>
      </w:r>
      <w:r w:rsidR="008F4154">
        <w:rPr>
          <w:rFonts w:eastAsia="Times New Roman" w:cs="Times New Roman"/>
          <w:b/>
          <w:szCs w:val="28"/>
        </w:rPr>
        <w:t xml:space="preserve"> </w:t>
      </w:r>
    </w:p>
    <w:p w14:paraId="13B86633" w14:textId="70B6B1B5" w:rsidR="00432A05" w:rsidRPr="008C0662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 w:rsidRPr="008C0662"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 w:rsidRPr="008C0662">
        <w:rPr>
          <w:rFonts w:eastAsia="Times New Roman" w:cs="Times New Roman"/>
          <w:b/>
          <w:sz w:val="24"/>
          <w:szCs w:val="24"/>
        </w:rPr>
        <w:sym w:font="Symbol" w:char="F02D"/>
      </w:r>
    </w:p>
    <w:p w14:paraId="39367AFB" w14:textId="36B6F657" w:rsidR="004D1FAA" w:rsidRPr="008C0662" w:rsidRDefault="00C84A6C" w:rsidP="00B83D89">
      <w:pPr>
        <w:jc w:val="center"/>
        <w:rPr>
          <w:b/>
          <w:sz w:val="24"/>
          <w:szCs w:val="24"/>
          <w:u w:val="single"/>
          <w:lang w:eastAsia="uk-UA"/>
        </w:rPr>
      </w:pPr>
      <w:r w:rsidRPr="008C0662">
        <w:rPr>
          <w:rFonts w:eastAsia="Times New Roman" w:cs="Times New Roman"/>
          <w:b/>
          <w:bCs/>
          <w:sz w:val="24"/>
          <w:szCs w:val="24"/>
          <w:u w:val="single"/>
        </w:rPr>
        <w:t xml:space="preserve">головного </w:t>
      </w:r>
      <w:r w:rsidR="00432A05" w:rsidRPr="008C0662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432A05" w:rsidRPr="008C0662">
        <w:rPr>
          <w:b/>
          <w:sz w:val="24"/>
          <w:szCs w:val="24"/>
          <w:u w:val="single"/>
          <w:lang w:eastAsia="uk-UA"/>
        </w:rPr>
        <w:t xml:space="preserve">відділу </w:t>
      </w:r>
      <w:r w:rsidR="00CC115A">
        <w:rPr>
          <w:b/>
          <w:sz w:val="24"/>
          <w:szCs w:val="24"/>
          <w:u w:val="single"/>
          <w:lang w:eastAsia="uk-UA"/>
        </w:rPr>
        <w:t>документального забезпечення</w:t>
      </w:r>
    </w:p>
    <w:p w14:paraId="606DBDD8" w14:textId="2706A993" w:rsidR="00BC2CEB" w:rsidRDefault="00102CC7" w:rsidP="00A75EA9">
      <w:pPr>
        <w:jc w:val="center"/>
        <w:rPr>
          <w:b/>
          <w:sz w:val="24"/>
          <w:szCs w:val="24"/>
          <w:lang w:eastAsia="uk-UA"/>
        </w:rPr>
      </w:pPr>
      <w:r w:rsidRPr="008C0662">
        <w:rPr>
          <w:b/>
          <w:sz w:val="24"/>
          <w:szCs w:val="24"/>
          <w:u w:val="single"/>
          <w:lang w:eastAsia="uk-UA"/>
        </w:rPr>
        <w:t>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514D17">
        <w:rPr>
          <w:b/>
          <w:sz w:val="24"/>
          <w:szCs w:val="24"/>
          <w:u w:val="single"/>
          <w:lang w:eastAsia="uk-UA"/>
        </w:rPr>
        <w:t>(</w:t>
      </w:r>
      <w:r w:rsidR="008F4154" w:rsidRPr="00CC115A">
        <w:rPr>
          <w:b/>
          <w:color w:val="FF0000"/>
          <w:sz w:val="24"/>
          <w:szCs w:val="24"/>
          <w:lang w:eastAsia="uk-UA"/>
        </w:rPr>
        <w:t xml:space="preserve">№ </w:t>
      </w:r>
      <w:r w:rsidR="00670935" w:rsidRPr="00384CBD">
        <w:rPr>
          <w:b/>
          <w:color w:val="FF0000"/>
          <w:sz w:val="24"/>
          <w:szCs w:val="24"/>
          <w:lang w:val="ru-RU" w:eastAsia="uk-UA"/>
        </w:rPr>
        <w:t>2</w:t>
      </w:r>
      <w:r w:rsidR="00514D17">
        <w:rPr>
          <w:b/>
          <w:color w:val="FF0000"/>
          <w:sz w:val="24"/>
          <w:szCs w:val="24"/>
          <w:lang w:eastAsia="uk-UA"/>
        </w:rPr>
        <w:t>)</w:t>
      </w:r>
    </w:p>
    <w:p w14:paraId="319B801E" w14:textId="480575C2" w:rsidR="00CC115A" w:rsidRPr="00175DC2" w:rsidRDefault="00CC115A" w:rsidP="00175DC2">
      <w:pPr>
        <w:jc w:val="center"/>
        <w:rPr>
          <w:b/>
          <w:color w:val="FF0000"/>
          <w:sz w:val="24"/>
          <w:szCs w:val="24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122"/>
        <w:gridCol w:w="425"/>
        <w:gridCol w:w="6804"/>
      </w:tblGrid>
      <w:tr w:rsidR="00415BAD" w:rsidRPr="00FB1754" w14:paraId="6F405E3E" w14:textId="77777777" w:rsidTr="004C19D5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4C19D5">
        <w:trPr>
          <w:trHeight w:val="268"/>
        </w:trPr>
        <w:tc>
          <w:tcPr>
            <w:tcW w:w="2694" w:type="dxa"/>
            <w:gridSpan w:val="2"/>
          </w:tcPr>
          <w:p w14:paraId="136C52D5" w14:textId="77777777" w:rsidR="00B56C4B" w:rsidRPr="00FB1754" w:rsidRDefault="00B56C4B" w:rsidP="00B56C4B">
            <w:pPr>
              <w:rPr>
                <w:sz w:val="24"/>
              </w:rPr>
            </w:pPr>
            <w:r w:rsidRPr="00455E7C">
              <w:rPr>
                <w:sz w:val="24"/>
              </w:rPr>
              <w:t>Посадові обов’язки</w:t>
            </w:r>
            <w:r w:rsidRPr="00FB1754">
              <w:rPr>
                <w:sz w:val="24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0D51" w14:textId="55A8B2BA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175DC2">
              <w:rPr>
                <w:color w:val="auto"/>
                <w:lang w:val="uk-UA"/>
              </w:rPr>
              <w:t xml:space="preserve">дійснення комплексних заходів з питань ведення діловодства, забезпечення приймання документів, направлених фельд’єгерським, спеціальним та поштовим зв’язком, а також відомчої кореспонденції, надісланої органами влади у паперовій формі, електронною поштою або доставленою уповноваженою особою та попереднього розгляду документів, а також перевірки кваліфікованого електронного підпису та кваліфікованої електронної печатки. Створення облікових даних про документ та оформлення </w:t>
            </w:r>
            <w:proofErr w:type="spellStart"/>
            <w:r w:rsidRPr="00175DC2">
              <w:rPr>
                <w:color w:val="auto"/>
                <w:lang w:val="uk-UA"/>
              </w:rPr>
              <w:t>реєстраційно</w:t>
            </w:r>
            <w:proofErr w:type="spellEnd"/>
            <w:r w:rsidRPr="00175DC2">
              <w:rPr>
                <w:color w:val="auto"/>
                <w:lang w:val="uk-UA"/>
              </w:rPr>
              <w:t xml:space="preserve">-моніторингової картки у базі даних ІС «СЕД» із зазначенням обов’язкових реквізитів, за допомогою яких фіксується факт створення, одержання, документа шляхом проставлення на ньому штампа (штрих-коду), реєстраційного номера з подальшим внесенням до </w:t>
            </w:r>
            <w:proofErr w:type="spellStart"/>
            <w:r w:rsidRPr="00175DC2">
              <w:rPr>
                <w:color w:val="auto"/>
                <w:lang w:val="uk-UA"/>
              </w:rPr>
              <w:t>реєстраційно</w:t>
            </w:r>
            <w:proofErr w:type="spellEnd"/>
            <w:r w:rsidRPr="00175DC2">
              <w:rPr>
                <w:color w:val="auto"/>
                <w:lang w:val="uk-UA"/>
              </w:rPr>
              <w:t>-моніторингової картки необхідних відомостей. Вчасна передача документів на розгляд</w:t>
            </w:r>
            <w:r>
              <w:rPr>
                <w:color w:val="auto"/>
              </w:rPr>
              <w:t>;</w:t>
            </w:r>
          </w:p>
          <w:p w14:paraId="7965A301" w14:textId="209A350A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175DC2">
              <w:rPr>
                <w:color w:val="auto"/>
                <w:lang w:val="uk-UA"/>
              </w:rPr>
              <w:t>абезпечення проведення збору інформації щодо узагальнення документообігу</w:t>
            </w:r>
            <w:r>
              <w:rPr>
                <w:color w:val="auto"/>
                <w:lang w:val="uk-UA"/>
              </w:rPr>
              <w:t xml:space="preserve"> </w:t>
            </w:r>
            <w:r w:rsidRPr="00175DC2">
              <w:rPr>
                <w:color w:val="auto"/>
                <w:lang w:val="uk-UA"/>
              </w:rPr>
              <w:t>в  обласній прокуратурі та підготовки довідок необхідних для діяльності обласної прокуратури, складання звітності з вказаних питань</w:t>
            </w:r>
            <w:r w:rsidRPr="008F4154">
              <w:rPr>
                <w:color w:val="auto"/>
                <w:lang w:val="uk-UA"/>
              </w:rPr>
              <w:t>;</w:t>
            </w:r>
          </w:p>
          <w:p w14:paraId="4B2B619D" w14:textId="10EBF7D4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175DC2">
              <w:rPr>
                <w:color w:val="auto"/>
                <w:lang w:val="uk-UA"/>
              </w:rPr>
              <w:t>абезпечення ведення діловодства Полтавської обласної прокуратури шляхом обліку</w:t>
            </w:r>
            <w:r>
              <w:rPr>
                <w:color w:val="auto"/>
                <w:lang w:val="uk-UA"/>
              </w:rPr>
              <w:t xml:space="preserve"> </w:t>
            </w:r>
            <w:r w:rsidRPr="00175DC2">
              <w:rPr>
                <w:color w:val="auto"/>
                <w:lang w:val="uk-UA"/>
              </w:rPr>
              <w:t>в ІС «СЕД» вихідних та внутрішніх документів, наглядових проваджень, внесення відомостей про їх рух. Ведення книг обліку, передбачених організаційно-розпорядчими документами Офісу Генерального прокурора.</w:t>
            </w:r>
          </w:p>
          <w:p w14:paraId="5A4C8E70" w14:textId="5D49A857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</w:t>
            </w:r>
            <w:r w:rsidRPr="00175DC2">
              <w:rPr>
                <w:color w:val="auto"/>
                <w:lang w:val="uk-UA"/>
              </w:rPr>
              <w:t>риймання, облік, зберігання, використання та передача документів, які містять службову інформацію відповідно до організаційно-розпорядчих документів органів прокуратури. Забезпечення проведення щорічної звірки наявності документів з грифом «Для службового користування» в структурних підрозділах обласної прокуратури відповідно до розподілу обов’язків між працівниками відділу документального забезпечення</w:t>
            </w:r>
          </w:p>
          <w:p w14:paraId="460146B0" w14:textId="42C98973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175DC2">
              <w:rPr>
                <w:color w:val="auto"/>
                <w:lang w:val="uk-UA"/>
              </w:rPr>
              <w:t>дійснення опрацювання вихідної кореспонденції в ІС «СЕД», ведення книг обліку, складання реєстрів відповідно до організаційно-розпорядчих документів Офісу Генерального прокурора</w:t>
            </w:r>
          </w:p>
          <w:p w14:paraId="3A01AC46" w14:textId="5C4FBF8E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175DC2">
              <w:rPr>
                <w:color w:val="auto"/>
                <w:lang w:val="uk-UA"/>
              </w:rPr>
              <w:t xml:space="preserve">а дорученням керівника відділу підготовка </w:t>
            </w:r>
            <w:proofErr w:type="spellStart"/>
            <w:r w:rsidRPr="00175DC2">
              <w:rPr>
                <w:color w:val="auto"/>
                <w:lang w:val="uk-UA"/>
              </w:rPr>
              <w:t>проєктів</w:t>
            </w:r>
            <w:proofErr w:type="spellEnd"/>
            <w:r w:rsidRPr="00175DC2">
              <w:rPr>
                <w:color w:val="auto"/>
                <w:lang w:val="uk-UA"/>
              </w:rPr>
              <w:t xml:space="preserve"> службових листів, у тому числі інформаційного та орієнтовного характеру, листів із зауваженнями, наказів та інших організаційно-розпорядчих документів з питань, що належать до компетенції відділу.</w:t>
            </w:r>
          </w:p>
          <w:p w14:paraId="6D3AC734" w14:textId="6325D9F9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175DC2">
              <w:rPr>
                <w:color w:val="auto"/>
                <w:lang w:val="uk-UA"/>
              </w:rPr>
              <w:t>адання довідок працівникам Полтавської обласної прокуратури щодо реєстрації, проходження та збереження кореспонденції, складання звітності з питань документообігу. Надання довідок фізичним та юридичним особам щодо надходження, реєстрації та розгляду звернень (скарг).</w:t>
            </w:r>
          </w:p>
          <w:p w14:paraId="02F90490" w14:textId="24BB1BC2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</w:t>
            </w:r>
            <w:r w:rsidRPr="00175DC2">
              <w:rPr>
                <w:color w:val="auto"/>
                <w:lang w:val="uk-UA"/>
              </w:rPr>
              <w:t xml:space="preserve">кладання номенклатури справ, забезпечення ведення </w:t>
            </w:r>
            <w:r w:rsidRPr="00175DC2">
              <w:rPr>
                <w:color w:val="auto"/>
                <w:lang w:val="uk-UA"/>
              </w:rPr>
              <w:lastRenderedPageBreak/>
              <w:t>діловодства в обласній прокуратурі. Оформлення документів для здачі у відомчий архів, у тому числі робота</w:t>
            </w:r>
            <w:r>
              <w:rPr>
                <w:color w:val="auto"/>
                <w:lang w:val="uk-UA"/>
              </w:rPr>
              <w:t xml:space="preserve"> </w:t>
            </w:r>
            <w:r w:rsidRPr="00175DC2">
              <w:rPr>
                <w:color w:val="auto"/>
                <w:lang w:val="uk-UA"/>
              </w:rPr>
              <w:t>з електронним архівом в ІС «СЕД».</w:t>
            </w:r>
          </w:p>
          <w:p w14:paraId="2630C6BB" w14:textId="4F8F36FB" w:rsidR="00175DC2" w:rsidRPr="00175DC2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175DC2">
              <w:rPr>
                <w:color w:val="auto"/>
                <w:lang w:val="uk-UA"/>
              </w:rPr>
              <w:t>абезпечення зберігання та упорядкування документаційного фонду, створеного</w:t>
            </w:r>
            <w:r>
              <w:rPr>
                <w:color w:val="auto"/>
                <w:lang w:val="uk-UA"/>
              </w:rPr>
              <w:t xml:space="preserve"> </w:t>
            </w:r>
            <w:r w:rsidRPr="00175DC2">
              <w:rPr>
                <w:color w:val="auto"/>
                <w:lang w:val="uk-UA"/>
              </w:rPr>
              <w:t xml:space="preserve">за результатами діяльності обласної прокуратури, складання </w:t>
            </w:r>
            <w:proofErr w:type="spellStart"/>
            <w:r w:rsidRPr="00175DC2">
              <w:rPr>
                <w:color w:val="auto"/>
                <w:lang w:val="uk-UA"/>
              </w:rPr>
              <w:t>проєктів</w:t>
            </w:r>
            <w:proofErr w:type="spellEnd"/>
            <w:r w:rsidRPr="00175DC2">
              <w:rPr>
                <w:color w:val="auto"/>
                <w:lang w:val="uk-UA"/>
              </w:rPr>
              <w:t xml:space="preserve"> описів справ постійного зберігання, тривалого (понад 10 років) та тимчасового зберігання, актів</w:t>
            </w:r>
            <w:r>
              <w:rPr>
                <w:color w:val="auto"/>
                <w:lang w:val="uk-UA"/>
              </w:rPr>
              <w:t xml:space="preserve"> </w:t>
            </w:r>
            <w:r w:rsidRPr="00175DC2">
              <w:rPr>
                <w:color w:val="auto"/>
                <w:lang w:val="uk-UA"/>
              </w:rPr>
              <w:t>про вилучення для знищення документів, актів про невиправні пошкодження документів і передавання документів на архівне зберігання</w:t>
            </w:r>
          </w:p>
          <w:p w14:paraId="4CFA0F3D" w14:textId="74796E93" w:rsidR="00B56C4B" w:rsidRPr="00F96177" w:rsidRDefault="00175DC2" w:rsidP="00175DC2">
            <w:pPr>
              <w:pStyle w:val="ae"/>
              <w:numPr>
                <w:ilvl w:val="0"/>
                <w:numId w:val="31"/>
              </w:numPr>
              <w:spacing w:line="240" w:lineRule="auto"/>
              <w:ind w:left="0" w:firstLine="318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</w:t>
            </w:r>
            <w:r w:rsidRPr="00175DC2">
              <w:rPr>
                <w:color w:val="auto"/>
                <w:lang w:val="uk-UA"/>
              </w:rPr>
              <w:t>иконання інших доручень керівництва, у тому числі по забезпеченню інших ділянок роботи відділу документального забезпечення.</w:t>
            </w:r>
          </w:p>
        </w:tc>
      </w:tr>
      <w:tr w:rsidR="00B56C4B" w:rsidRPr="00FB1754" w14:paraId="7E115C87" w14:textId="77777777" w:rsidTr="004C19D5">
        <w:trPr>
          <w:trHeight w:val="58"/>
        </w:trPr>
        <w:tc>
          <w:tcPr>
            <w:tcW w:w="2694" w:type="dxa"/>
            <w:gridSpan w:val="2"/>
          </w:tcPr>
          <w:p w14:paraId="75B0ACF4" w14:textId="77777777" w:rsidR="00B56C4B" w:rsidRPr="00FB1754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 xml:space="preserve">Умови оплати праці </w:t>
            </w:r>
          </w:p>
        </w:tc>
        <w:tc>
          <w:tcPr>
            <w:tcW w:w="7229" w:type="dxa"/>
            <w:gridSpan w:val="2"/>
          </w:tcPr>
          <w:p w14:paraId="15E7F0E6" w14:textId="5BAD40E2" w:rsidR="00B56C4B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>, надбавки, доплати, 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                    на 20</w:t>
            </w:r>
            <w:r w:rsidR="008C0662">
              <w:rPr>
                <w:sz w:val="24"/>
              </w:rPr>
              <w:t>25</w:t>
            </w:r>
            <w:r>
              <w:rPr>
                <w:sz w:val="24"/>
              </w:rPr>
              <w:t xml:space="preserve">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                від 29.12.2023 № 1409 «Питання оплати праці державних службовців на основі класифікації посад у 202</w:t>
            </w:r>
            <w:r w:rsidR="008C0662">
              <w:rPr>
                <w:sz w:val="24"/>
              </w:rPr>
              <w:t>5</w:t>
            </w:r>
            <w:r>
              <w:rPr>
                <w:sz w:val="24"/>
              </w:rPr>
              <w:t xml:space="preserve"> році».</w:t>
            </w:r>
          </w:p>
        </w:tc>
      </w:tr>
      <w:tr w:rsidR="00B56C4B" w:rsidRPr="00FB1754" w14:paraId="053646A2" w14:textId="77777777" w:rsidTr="004C19D5">
        <w:tc>
          <w:tcPr>
            <w:tcW w:w="2694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229" w:type="dxa"/>
            <w:gridSpan w:val="2"/>
          </w:tcPr>
          <w:p w14:paraId="49065379" w14:textId="7CBA6FE0" w:rsidR="00B56C4B" w:rsidRPr="00432A05" w:rsidRDefault="00B56C4B" w:rsidP="00B56C4B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</w:t>
            </w:r>
            <w:r>
              <w:rPr>
                <w:sz w:val="24"/>
                <w:szCs w:val="24"/>
              </w:rPr>
              <w:t xml:space="preserve">  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39ACDFF1" w:rsidR="00B56C4B" w:rsidRPr="00FB1754" w:rsidRDefault="00B56C4B" w:rsidP="00B56C4B">
            <w:pPr>
              <w:ind w:firstLine="315"/>
              <w:rPr>
                <w:sz w:val="24"/>
              </w:rPr>
            </w:pPr>
            <w:r w:rsidRPr="00432A05">
              <w:rPr>
                <w:sz w:val="24"/>
                <w:szCs w:val="24"/>
              </w:rPr>
              <w:t xml:space="preserve">Строк призначення особи, яка досягла 65-річного віку, становить один рік з правом повторного призначення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B56C4B" w:rsidRPr="00FB1754" w14:paraId="49C57FB3" w14:textId="77777777" w:rsidTr="004C19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613D4679" w:rsidR="00B56C4B" w:rsidRPr="0005722B" w:rsidRDefault="00B56C4B" w:rsidP="00F61AAA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F61AAA" w:rsidRPr="00F61AAA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14:paraId="1F4BA33D" w14:textId="3B54D9FF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               № 246);</w:t>
            </w:r>
          </w:p>
          <w:p w14:paraId="33C219E0" w14:textId="0FC5CA1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49A2893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                      від прийняття реєстраційного номера облікової картки платника податків та повідомили про це відповідний контролюючий орган           і мають відмітку у паспорті);</w:t>
            </w:r>
          </w:p>
          <w:p w14:paraId="1776DB34" w14:textId="4DBECDD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2542BC9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                             на проходження перевірки та на оприлюднення відомостей стосовно неї відповідно до зазначеного Закону або завірена                          в установленому порядку копія довідки про результати проведення перевірки відповідно до Закону України «Про очищення влади»     (за наявності);</w:t>
            </w:r>
          </w:p>
          <w:p w14:paraId="196018B1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B56C4B" w:rsidRPr="00543F1E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32998252" w:rsidR="00B56C4B" w:rsidRPr="001F026C" w:rsidRDefault="00B56C4B" w:rsidP="00B56C4B">
            <w:pPr>
              <w:ind w:firstLine="421"/>
              <w:rPr>
                <w:b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</w:t>
            </w:r>
            <w:r w:rsidRPr="00B338FD">
              <w:rPr>
                <w:rFonts w:cs="Times New Roman"/>
                <w:sz w:val="24"/>
              </w:rPr>
              <w:t xml:space="preserve">приймаються 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8C0662">
              <w:rPr>
                <w:rFonts w:cs="Times New Roman"/>
                <w:b/>
                <w:bCs/>
                <w:sz w:val="24"/>
              </w:rPr>
              <w:t>18</w:t>
            </w:r>
            <w:r w:rsidR="008C0662" w:rsidRPr="008C0662">
              <w:rPr>
                <w:rFonts w:cs="Times New Roman"/>
                <w:b/>
                <w:bCs/>
                <w:sz w:val="24"/>
                <w:lang w:val="ru-RU"/>
              </w:rPr>
              <w:t>:00</w:t>
            </w:r>
            <w:r w:rsidRPr="00B338FD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384CBD">
              <w:rPr>
                <w:rFonts w:cs="Times New Roman"/>
                <w:b/>
                <w:bCs/>
                <w:sz w:val="24"/>
                <w:lang w:val="ru-RU"/>
              </w:rPr>
              <w:t>25</w:t>
            </w:r>
            <w:bookmarkStart w:id="1" w:name="_GoBack"/>
            <w:bookmarkEnd w:id="1"/>
            <w:r w:rsidRPr="00B338FD">
              <w:rPr>
                <w:rFonts w:cs="Times New Roman"/>
                <w:b/>
                <w:bCs/>
                <w:sz w:val="24"/>
              </w:rPr>
              <w:t xml:space="preserve"> </w:t>
            </w:r>
            <w:r w:rsidR="00CC115A">
              <w:rPr>
                <w:rFonts w:cs="Times New Roman"/>
                <w:b/>
                <w:bCs/>
                <w:sz w:val="24"/>
              </w:rPr>
              <w:t>березня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202</w:t>
            </w:r>
            <w:r w:rsidR="008C0662">
              <w:rPr>
                <w:rFonts w:cs="Times New Roman"/>
                <w:b/>
                <w:bCs/>
                <w:sz w:val="24"/>
              </w:rPr>
              <w:t>5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                       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4C19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Прізвище, ім’я та </w:t>
            </w:r>
          </w:p>
          <w:p w14:paraId="24EE8720" w14:textId="10B57CE4" w:rsidR="00E05E29" w:rsidRPr="00D30691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36BE3FB2" w:rsidR="00B56C4B" w:rsidRDefault="008C0662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4"/>
          </w:tcPr>
          <w:p w14:paraId="67B1A32A" w14:textId="77777777" w:rsidR="00E05E29" w:rsidRDefault="00E05E29" w:rsidP="00B56C4B">
            <w:pPr>
              <w:jc w:val="center"/>
              <w:rPr>
                <w:b/>
                <w:sz w:val="24"/>
              </w:rPr>
            </w:pPr>
          </w:p>
          <w:p w14:paraId="771EE80F" w14:textId="77777777" w:rsidR="00B56C4B" w:rsidRDefault="00B56C4B" w:rsidP="00B56C4B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  <w:p w14:paraId="10DCE695" w14:textId="24CD6816" w:rsidR="00E05E29" w:rsidRPr="00FB1754" w:rsidRDefault="00E05E29" w:rsidP="00B56C4B">
            <w:pPr>
              <w:jc w:val="center"/>
              <w:rPr>
                <w:b/>
                <w:sz w:val="24"/>
              </w:rPr>
            </w:pPr>
          </w:p>
        </w:tc>
      </w:tr>
      <w:tr w:rsidR="00B56C4B" w:rsidRPr="00FB1754" w14:paraId="433FB299" w14:textId="77777777" w:rsidTr="004C19D5">
        <w:tc>
          <w:tcPr>
            <w:tcW w:w="572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4974AD9F" w:rsidR="00B56C4B" w:rsidRPr="001302A8" w:rsidRDefault="001302A8" w:rsidP="001302A8">
            <w:pPr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4C19D5">
        <w:tc>
          <w:tcPr>
            <w:tcW w:w="572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B56C4B" w:rsidRPr="005B1AB6" w:rsidRDefault="00B56C4B" w:rsidP="00B56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4C19D5">
        <w:trPr>
          <w:trHeight w:val="270"/>
        </w:trPr>
        <w:tc>
          <w:tcPr>
            <w:tcW w:w="572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1D84E9DB" w:rsidR="00E05E29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804" w:type="dxa"/>
          </w:tcPr>
          <w:p w14:paraId="63FDB019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4C19D5">
        <w:trPr>
          <w:trHeight w:val="198"/>
        </w:trPr>
        <w:tc>
          <w:tcPr>
            <w:tcW w:w="572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1302A8" w:rsidRPr="00FB1754" w14:paraId="2A660972" w14:textId="77777777" w:rsidTr="00AF616A">
        <w:trPr>
          <w:trHeight w:val="144"/>
        </w:trPr>
        <w:tc>
          <w:tcPr>
            <w:tcW w:w="572" w:type="dxa"/>
          </w:tcPr>
          <w:p w14:paraId="1BB21B10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</w:tcPr>
          <w:p w14:paraId="1AC4FE65" w14:textId="3387440B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Цифрова грамотність</w:t>
            </w:r>
          </w:p>
        </w:tc>
        <w:tc>
          <w:tcPr>
            <w:tcW w:w="6804" w:type="dxa"/>
            <w:shd w:val="clear" w:color="auto" w:fill="auto"/>
          </w:tcPr>
          <w:p w14:paraId="23A53693" w14:textId="0665A2DE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комп</w:t>
            </w:r>
            <w:r w:rsidR="00BC5ED9" w:rsidRPr="001302A8">
              <w:rPr>
                <w:rFonts w:eastAsia="Times New Roman" w:cs="Times New Roman"/>
                <w:sz w:val="24"/>
                <w:szCs w:val="24"/>
              </w:rPr>
              <w:t>’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ютерні пристрої, базове офісне та спеціалізоване програмне забезпечення                          для ефективного виконання своїх посадових обов’язків;</w:t>
            </w:r>
          </w:p>
          <w:p w14:paraId="142B5C2E" w14:textId="6BE9A508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</w:t>
            </w:r>
            <w:r w:rsidR="0080402C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r w:rsidR="0080402C">
              <w:rPr>
                <w:rStyle w:val="4"/>
                <w:color w:val="000000"/>
                <w:sz w:val="24"/>
                <w:szCs w:val="24"/>
                <w:lang w:eastAsia="uk-UA"/>
              </w:rPr>
              <w:t xml:space="preserve">                         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 цифровому середовищі;</w:t>
            </w:r>
          </w:p>
          <w:p w14:paraId="5E7BFBB8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5574A5B9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055788B" w14:textId="77777777" w:rsid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обов`язків, вміти користуватись кваліфікованим електронним підписом (КЕП);</w:t>
            </w:r>
          </w:p>
          <w:p w14:paraId="412B04DA" w14:textId="298577E6" w:rsidR="001302A8" w:rsidRP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здатність використовувати відкриті цифрові ресурси  </w:t>
            </w:r>
            <w:r w:rsidRPr="00BC5ED9">
              <w:rPr>
                <w:rStyle w:val="4"/>
                <w:b w:val="0"/>
                <w:color w:val="000000"/>
                <w:szCs w:val="24"/>
                <w:lang w:eastAsia="uk-UA"/>
              </w:rPr>
              <w:t xml:space="preserve">            </w:t>
            </w: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для власного професійного розвитку.</w:t>
            </w:r>
          </w:p>
        </w:tc>
      </w:tr>
      <w:tr w:rsidR="001302A8" w:rsidRPr="00FB1754" w14:paraId="7813303F" w14:textId="77777777" w:rsidTr="004C19D5">
        <w:trPr>
          <w:trHeight w:val="333"/>
        </w:trPr>
        <w:tc>
          <w:tcPr>
            <w:tcW w:w="572" w:type="dxa"/>
          </w:tcPr>
          <w:p w14:paraId="2785239F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17F5ACE3" w14:textId="77777777" w:rsidR="001302A8" w:rsidRDefault="001302A8" w:rsidP="00760C2F">
            <w:pPr>
              <w:widowControl w:val="0"/>
              <w:jc w:val="left"/>
              <w:rPr>
                <w:rFonts w:cs="Times New Roman"/>
                <w:sz w:val="24"/>
              </w:rPr>
            </w:pPr>
            <w:r w:rsidRPr="001302A8">
              <w:rPr>
                <w:rFonts w:cs="Times New Roman"/>
                <w:sz w:val="24"/>
              </w:rPr>
              <w:t xml:space="preserve">Командна робота </w:t>
            </w:r>
          </w:p>
          <w:p w14:paraId="39B44FFF" w14:textId="369547F1" w:rsidR="001302A8" w:rsidRPr="001302A8" w:rsidRDefault="001302A8" w:rsidP="00760C2F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1302A8">
              <w:rPr>
                <w:rFonts w:cs="Times New Roman"/>
                <w:sz w:val="24"/>
              </w:rPr>
              <w:t>та взаємодія</w:t>
            </w:r>
            <w:r w:rsidRPr="001302A8">
              <w:rPr>
                <w:rFonts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04" w:type="dxa"/>
          </w:tcPr>
          <w:p w14:paraId="08C85150" w14:textId="12D65E13" w:rsidR="001302A8" w:rsidRPr="001302A8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ваги свого внеску у загальний результат роботи відділу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</w:t>
            </w:r>
            <w:r w:rsid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підтримання публічного обвинувачення управління нагляду за додержанням </w:t>
            </w: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законів Національною поліцією України та органами,                   які ведуть боротьбу з організованою злочинністю;</w:t>
            </w:r>
          </w:p>
          <w:p w14:paraId="07E42EB3" w14:textId="77777777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командний результат;</w:t>
            </w:r>
          </w:p>
          <w:p w14:paraId="69AAB98A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працювати в команді та сприяти колегам                      у їх професійній діяльності задля досягнення спільних цілей;</w:t>
            </w:r>
          </w:p>
          <w:p w14:paraId="028D0C08" w14:textId="251D21E9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 в обміні інформацією.</w:t>
            </w:r>
          </w:p>
        </w:tc>
      </w:tr>
      <w:tr w:rsidR="001302A8" w:rsidRPr="00FB1754" w14:paraId="40767C09" w14:textId="77777777" w:rsidTr="004C19D5">
        <w:trPr>
          <w:trHeight w:val="1907"/>
        </w:trPr>
        <w:tc>
          <w:tcPr>
            <w:tcW w:w="572" w:type="dxa"/>
          </w:tcPr>
          <w:p w14:paraId="132EDA93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2D9399DD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</w:tcPr>
          <w:p w14:paraId="335BEE18" w14:textId="77777777" w:rsidR="001302A8" w:rsidRPr="001302A8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важливості якісного виконання                        своїх посадових обов'язків з дотриманням строків                            та встановлених процедур;</w:t>
            </w:r>
          </w:p>
          <w:p w14:paraId="4A240FAE" w14:textId="77777777" w:rsid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рівня відповідальності під час підготовки                 і прийняття рішень, готовність нести відповідальність                 за можливі наслідки реалізації таких рішень;</w:t>
            </w:r>
          </w:p>
          <w:p w14:paraId="33B1A0E7" w14:textId="5B3CE4D8" w:rsidR="001302A8" w:rsidRP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BC5ED9">
              <w:rPr>
                <w:rFonts w:eastAsia="Times New Roman" w:cs="Times New Roman"/>
                <w:sz w:val="24"/>
                <w:szCs w:val="24"/>
              </w:rPr>
              <w:t>здатність брати на себе зобов’язання, чітко                                  їх дотримуватись і виконувати.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4"/>
          </w:tcPr>
          <w:p w14:paraId="1C812F00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760C2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4C19D5">
        <w:trPr>
          <w:trHeight w:val="120"/>
        </w:trPr>
        <w:tc>
          <w:tcPr>
            <w:tcW w:w="572" w:type="dxa"/>
          </w:tcPr>
          <w:p w14:paraId="66A83839" w14:textId="77777777" w:rsidR="00B56C4B" w:rsidRPr="00FB1754" w:rsidRDefault="00B56C4B" w:rsidP="00B56C4B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B56C4B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B56C4B" w:rsidRPr="00102CC7" w:rsidRDefault="00B56C4B" w:rsidP="00760C2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B56C4B" w:rsidRPr="00102CC7" w:rsidRDefault="00B56C4B" w:rsidP="00760C2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096A45">
        <w:trPr>
          <w:trHeight w:val="1440"/>
        </w:trPr>
        <w:tc>
          <w:tcPr>
            <w:tcW w:w="572" w:type="dxa"/>
          </w:tcPr>
          <w:p w14:paraId="2D493B30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D706EA9" w14:textId="1FFD5599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</w:tcPr>
          <w:p w14:paraId="55665EE4" w14:textId="77777777" w:rsidR="001302A8" w:rsidRPr="00BC7791" w:rsidRDefault="001302A8" w:rsidP="00760C2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02A8" w:rsidRPr="00FB1754" w14:paraId="7F952465" w14:textId="77777777" w:rsidTr="00096A45">
        <w:trPr>
          <w:trHeight w:val="699"/>
        </w:trPr>
        <w:tc>
          <w:tcPr>
            <w:tcW w:w="572" w:type="dxa"/>
          </w:tcPr>
          <w:p w14:paraId="5B1F087A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20B0A089" w14:textId="77777777" w:rsidR="001302A8" w:rsidRDefault="001302A8" w:rsidP="00760C2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804" w:type="dxa"/>
          </w:tcPr>
          <w:p w14:paraId="1A43E898" w14:textId="77777777" w:rsidR="001302A8" w:rsidRPr="00BC7791" w:rsidRDefault="001302A8" w:rsidP="00760C2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3B9E5D84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 w:rsidR="008C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3CE4701E" w14:textId="2CDBF168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199.</w:t>
            </w:r>
          </w:p>
          <w:p w14:paraId="0F6A6443" w14:textId="0761A36B" w:rsidR="001302A8" w:rsidRPr="00455E7C" w:rsidRDefault="001302A8" w:rsidP="00CC115A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Наказу Генерального прокурора «Про загальні засади організації роботи в органах прокуратури України»                        від 07.08.2020 № 365</w:t>
            </w:r>
            <w:r w:rsidR="00CC1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760C2F">
        <w:trPr>
          <w:trHeight w:val="363"/>
        </w:trPr>
        <w:tc>
          <w:tcPr>
            <w:tcW w:w="572" w:type="dxa"/>
          </w:tcPr>
          <w:p w14:paraId="71B39C8A" w14:textId="1D6B90B7" w:rsidR="00760C2F" w:rsidRDefault="00760C2F" w:rsidP="00760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7" w:type="dxa"/>
            <w:gridSpan w:val="2"/>
          </w:tcPr>
          <w:p w14:paraId="12894133" w14:textId="5EA47A11" w:rsidR="00760C2F" w:rsidRDefault="00760C2F" w:rsidP="00760C2F">
            <w:pPr>
              <w:widowControl w:val="0"/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36970257" w14:textId="7AEC49F7" w:rsidR="00760C2F" w:rsidRPr="00BC7791" w:rsidRDefault="00760C2F" w:rsidP="00760C2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455E7C">
      <w:headerReference w:type="default" r:id="rId8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8E98" w14:textId="77777777" w:rsidR="00C17FAB" w:rsidRDefault="00C17FAB">
      <w:r>
        <w:separator/>
      </w:r>
    </w:p>
  </w:endnote>
  <w:endnote w:type="continuationSeparator" w:id="0">
    <w:p w14:paraId="7855EF09" w14:textId="77777777" w:rsidR="00C17FAB" w:rsidRDefault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5A2DB" w14:textId="77777777" w:rsidR="00C17FAB" w:rsidRDefault="00C17FAB">
      <w:r>
        <w:separator/>
      </w:r>
    </w:p>
  </w:footnote>
  <w:footnote w:type="continuationSeparator" w:id="0">
    <w:p w14:paraId="4AEBE3DB" w14:textId="77777777" w:rsidR="00C17FAB" w:rsidRDefault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EB76B440"/>
    <w:lvl w:ilvl="0" w:tplc="A8C2A0F2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0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7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25"/>
  </w:num>
  <w:num w:numId="5">
    <w:abstractNumId w:val="10"/>
  </w:num>
  <w:num w:numId="6">
    <w:abstractNumId w:val="11"/>
  </w:num>
  <w:num w:numId="7">
    <w:abstractNumId w:val="20"/>
  </w:num>
  <w:num w:numId="8">
    <w:abstractNumId w:val="28"/>
  </w:num>
  <w:num w:numId="9">
    <w:abstractNumId w:val="17"/>
  </w:num>
  <w:num w:numId="10">
    <w:abstractNumId w:val="12"/>
  </w:num>
  <w:num w:numId="11">
    <w:abstractNumId w:val="26"/>
  </w:num>
  <w:num w:numId="12">
    <w:abstractNumId w:val="3"/>
  </w:num>
  <w:num w:numId="13">
    <w:abstractNumId w:val="2"/>
  </w:num>
  <w:num w:numId="14">
    <w:abstractNumId w:val="8"/>
  </w:num>
  <w:num w:numId="15">
    <w:abstractNumId w:val="18"/>
  </w:num>
  <w:num w:numId="16">
    <w:abstractNumId w:val="23"/>
  </w:num>
  <w:num w:numId="17">
    <w:abstractNumId w:val="15"/>
  </w:num>
  <w:num w:numId="18">
    <w:abstractNumId w:val="0"/>
  </w:num>
  <w:num w:numId="19">
    <w:abstractNumId w:val="24"/>
  </w:num>
  <w:num w:numId="20">
    <w:abstractNumId w:val="6"/>
  </w:num>
  <w:num w:numId="21">
    <w:abstractNumId w:val="13"/>
  </w:num>
  <w:num w:numId="22">
    <w:abstractNumId w:val="22"/>
  </w:num>
  <w:num w:numId="23">
    <w:abstractNumId w:val="27"/>
  </w:num>
  <w:num w:numId="24">
    <w:abstractNumId w:val="1"/>
  </w:num>
  <w:num w:numId="25">
    <w:abstractNumId w:val="19"/>
  </w:num>
  <w:num w:numId="26">
    <w:abstractNumId w:val="14"/>
  </w:num>
  <w:num w:numId="27">
    <w:abstractNumId w:val="29"/>
  </w:num>
  <w:num w:numId="28">
    <w:abstractNumId w:val="16"/>
  </w:num>
  <w:num w:numId="29">
    <w:abstractNumId w:val="1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5722B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62F12"/>
    <w:rsid w:val="00171824"/>
    <w:rsid w:val="00175DC2"/>
    <w:rsid w:val="001809E2"/>
    <w:rsid w:val="0018138B"/>
    <w:rsid w:val="001B4820"/>
    <w:rsid w:val="001D4E6D"/>
    <w:rsid w:val="001D6497"/>
    <w:rsid w:val="001D6D6D"/>
    <w:rsid w:val="001E1E0B"/>
    <w:rsid w:val="001E2FF5"/>
    <w:rsid w:val="001F026C"/>
    <w:rsid w:val="001F603F"/>
    <w:rsid w:val="00200B45"/>
    <w:rsid w:val="0020270E"/>
    <w:rsid w:val="0021268E"/>
    <w:rsid w:val="00225630"/>
    <w:rsid w:val="002320C7"/>
    <w:rsid w:val="002324B6"/>
    <w:rsid w:val="0023383E"/>
    <w:rsid w:val="00235015"/>
    <w:rsid w:val="00272342"/>
    <w:rsid w:val="0027544A"/>
    <w:rsid w:val="002871A4"/>
    <w:rsid w:val="002A45BB"/>
    <w:rsid w:val="002B0234"/>
    <w:rsid w:val="002C6E73"/>
    <w:rsid w:val="00310653"/>
    <w:rsid w:val="00321539"/>
    <w:rsid w:val="00331F7F"/>
    <w:rsid w:val="00334ED8"/>
    <w:rsid w:val="003451DF"/>
    <w:rsid w:val="003676F5"/>
    <w:rsid w:val="00377D2E"/>
    <w:rsid w:val="00384CBD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509E9"/>
    <w:rsid w:val="00451E16"/>
    <w:rsid w:val="00451E67"/>
    <w:rsid w:val="0045312E"/>
    <w:rsid w:val="00455E7C"/>
    <w:rsid w:val="004647CC"/>
    <w:rsid w:val="0046518D"/>
    <w:rsid w:val="00466108"/>
    <w:rsid w:val="004774CD"/>
    <w:rsid w:val="004918A0"/>
    <w:rsid w:val="0049629B"/>
    <w:rsid w:val="004A4354"/>
    <w:rsid w:val="004A4BC6"/>
    <w:rsid w:val="004A5D03"/>
    <w:rsid w:val="004B35BC"/>
    <w:rsid w:val="004C19D5"/>
    <w:rsid w:val="004D1FAA"/>
    <w:rsid w:val="004D41AF"/>
    <w:rsid w:val="004D4EA2"/>
    <w:rsid w:val="004D5BD8"/>
    <w:rsid w:val="004D7D5C"/>
    <w:rsid w:val="004E38A1"/>
    <w:rsid w:val="004E643E"/>
    <w:rsid w:val="004E7BED"/>
    <w:rsid w:val="00500F51"/>
    <w:rsid w:val="00503386"/>
    <w:rsid w:val="00514D17"/>
    <w:rsid w:val="005224A2"/>
    <w:rsid w:val="005248AF"/>
    <w:rsid w:val="00526D89"/>
    <w:rsid w:val="00530ACC"/>
    <w:rsid w:val="00543F1E"/>
    <w:rsid w:val="00564C90"/>
    <w:rsid w:val="0059050F"/>
    <w:rsid w:val="005A2CB5"/>
    <w:rsid w:val="005A772C"/>
    <w:rsid w:val="005B1AB6"/>
    <w:rsid w:val="005B2D98"/>
    <w:rsid w:val="005C0408"/>
    <w:rsid w:val="005E45DF"/>
    <w:rsid w:val="005E5D48"/>
    <w:rsid w:val="006226AF"/>
    <w:rsid w:val="00625B28"/>
    <w:rsid w:val="00637AB2"/>
    <w:rsid w:val="006467B3"/>
    <w:rsid w:val="00670935"/>
    <w:rsid w:val="006A7CB5"/>
    <w:rsid w:val="006B6B9E"/>
    <w:rsid w:val="006B6FA7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F310C"/>
    <w:rsid w:val="007F6942"/>
    <w:rsid w:val="00801508"/>
    <w:rsid w:val="0080402C"/>
    <w:rsid w:val="00825D78"/>
    <w:rsid w:val="00850AE4"/>
    <w:rsid w:val="00865D96"/>
    <w:rsid w:val="00870976"/>
    <w:rsid w:val="00871529"/>
    <w:rsid w:val="00873AE4"/>
    <w:rsid w:val="00886392"/>
    <w:rsid w:val="00890995"/>
    <w:rsid w:val="00896C72"/>
    <w:rsid w:val="008A04BD"/>
    <w:rsid w:val="008C0662"/>
    <w:rsid w:val="008C34BC"/>
    <w:rsid w:val="008C43AB"/>
    <w:rsid w:val="008D2A80"/>
    <w:rsid w:val="008E329A"/>
    <w:rsid w:val="008F4154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338FD"/>
    <w:rsid w:val="00B47E15"/>
    <w:rsid w:val="00B56957"/>
    <w:rsid w:val="00B56C4B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395D"/>
    <w:rsid w:val="00BD5DEA"/>
    <w:rsid w:val="00BE5C2B"/>
    <w:rsid w:val="00BF275F"/>
    <w:rsid w:val="00BF698E"/>
    <w:rsid w:val="00C00481"/>
    <w:rsid w:val="00C0504C"/>
    <w:rsid w:val="00C17FAB"/>
    <w:rsid w:val="00C334BE"/>
    <w:rsid w:val="00C66334"/>
    <w:rsid w:val="00C73AC8"/>
    <w:rsid w:val="00C84A6C"/>
    <w:rsid w:val="00C857E9"/>
    <w:rsid w:val="00CB21A9"/>
    <w:rsid w:val="00CB4055"/>
    <w:rsid w:val="00CC115A"/>
    <w:rsid w:val="00CD5003"/>
    <w:rsid w:val="00CF1AFA"/>
    <w:rsid w:val="00CF2192"/>
    <w:rsid w:val="00D0240C"/>
    <w:rsid w:val="00D02B4B"/>
    <w:rsid w:val="00D03B57"/>
    <w:rsid w:val="00D04AFE"/>
    <w:rsid w:val="00D20557"/>
    <w:rsid w:val="00D232DF"/>
    <w:rsid w:val="00D2377A"/>
    <w:rsid w:val="00D2682E"/>
    <w:rsid w:val="00D30691"/>
    <w:rsid w:val="00D44A83"/>
    <w:rsid w:val="00D53F0B"/>
    <w:rsid w:val="00D669AA"/>
    <w:rsid w:val="00D675CF"/>
    <w:rsid w:val="00D70414"/>
    <w:rsid w:val="00D75DD8"/>
    <w:rsid w:val="00D92512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61F12"/>
    <w:rsid w:val="00E66C65"/>
    <w:rsid w:val="00E71A4D"/>
    <w:rsid w:val="00E762E2"/>
    <w:rsid w:val="00E771F2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61AAA"/>
    <w:rsid w:val="00F93807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C173-E52C-4162-88F4-CC066718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4</Pages>
  <Words>1481</Words>
  <Characters>8446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105</cp:revision>
  <cp:lastPrinted>2025-03-19T15:14:00Z</cp:lastPrinted>
  <dcterms:created xsi:type="dcterms:W3CDTF">2021-03-23T13:15:00Z</dcterms:created>
  <dcterms:modified xsi:type="dcterms:W3CDTF">2025-03-19T15:15:00Z</dcterms:modified>
</cp:coreProperties>
</file>