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4F48D6D6" w14:textId="3A29FAAB" w:rsidR="002B29F3" w:rsidRDefault="008E34BE" w:rsidP="00F773DC">
      <w:pPr>
        <w:jc w:val="center"/>
        <w:rPr>
          <w:b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головного</w:t>
      </w:r>
      <w:r w:rsidR="00155D1E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r w:rsidR="00432A05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C955BE">
        <w:rPr>
          <w:b/>
          <w:sz w:val="24"/>
          <w:szCs w:val="24"/>
          <w:u w:val="single"/>
          <w:lang w:eastAsia="uk-UA"/>
        </w:rPr>
        <w:t xml:space="preserve">відділу </w:t>
      </w:r>
      <w:r w:rsidR="005A09A3">
        <w:rPr>
          <w:b/>
          <w:sz w:val="24"/>
          <w:szCs w:val="24"/>
          <w:u w:val="single"/>
          <w:lang w:eastAsia="uk-UA"/>
        </w:rPr>
        <w:t xml:space="preserve">організації закупівель, матеріально-технічного забезпечення та цивільного захисту </w:t>
      </w:r>
      <w:r w:rsidR="00102CC7"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  <w:r w:rsidR="002B29F3">
        <w:rPr>
          <w:b/>
          <w:sz w:val="24"/>
          <w:szCs w:val="24"/>
          <w:lang w:eastAsia="uk-UA"/>
        </w:rPr>
        <w:t xml:space="preserve"> </w:t>
      </w:r>
    </w:p>
    <w:p w14:paraId="79ECEAFF" w14:textId="77777777" w:rsidR="005A09A3" w:rsidRPr="00F773DC" w:rsidRDefault="005A09A3" w:rsidP="00F773DC">
      <w:pPr>
        <w:jc w:val="center"/>
        <w:rPr>
          <w:b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"/>
        <w:gridCol w:w="1968"/>
        <w:gridCol w:w="7535"/>
      </w:tblGrid>
      <w:tr w:rsidR="00415BAD" w:rsidRPr="00FB1754" w14:paraId="6F405E3E" w14:textId="77777777" w:rsidTr="004C19D5">
        <w:tc>
          <w:tcPr>
            <w:tcW w:w="9923" w:type="dxa"/>
            <w:gridSpan w:val="3"/>
            <w:vAlign w:val="center"/>
          </w:tcPr>
          <w:p w14:paraId="508090D0" w14:textId="3359B6C8" w:rsidR="00415BAD" w:rsidRPr="00432A05" w:rsidRDefault="00415BAD" w:rsidP="008B74AF">
            <w:pPr>
              <w:widowControl w:val="0"/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E840F1">
        <w:trPr>
          <w:trHeight w:val="268"/>
        </w:trPr>
        <w:tc>
          <w:tcPr>
            <w:tcW w:w="1985" w:type="dxa"/>
            <w:gridSpan w:val="2"/>
          </w:tcPr>
          <w:p w14:paraId="136C52D5" w14:textId="77777777" w:rsidR="00B56C4B" w:rsidRPr="0025382E" w:rsidRDefault="00B56C4B" w:rsidP="008B74AF">
            <w:pPr>
              <w:widowControl w:val="0"/>
              <w:jc w:val="left"/>
              <w:rPr>
                <w:sz w:val="24"/>
                <w:highlight w:val="yellow"/>
              </w:rPr>
            </w:pPr>
            <w:r w:rsidRPr="00631ED2">
              <w:rPr>
                <w:sz w:val="24"/>
              </w:rPr>
              <w:t xml:space="preserve">Посадові обов’язки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DA42" w14:textId="7B0B3632" w:rsidR="00E840F1" w:rsidRPr="00E840F1" w:rsidRDefault="00E840F1" w:rsidP="00E840F1">
            <w:pPr>
              <w:widowControl w:val="0"/>
              <w:shd w:val="clear" w:color="auto" w:fill="FFFFFF"/>
              <w:ind w:firstLine="335"/>
              <w:rPr>
                <w:sz w:val="24"/>
                <w:szCs w:val="24"/>
              </w:rPr>
            </w:pPr>
            <w:r w:rsidRPr="00E840F1">
              <w:rPr>
                <w:sz w:val="24"/>
                <w:szCs w:val="24"/>
              </w:rPr>
              <w:sym w:font="Symbol" w:char="F02D"/>
            </w:r>
            <w:r w:rsidRPr="00E840F1">
              <w:rPr>
                <w:sz w:val="24"/>
                <w:szCs w:val="24"/>
              </w:rPr>
              <w:t> забезпечення проведення закупівель товарів, робіт, послуг відповідно</w:t>
            </w:r>
            <w:r>
              <w:rPr>
                <w:sz w:val="24"/>
                <w:szCs w:val="24"/>
              </w:rPr>
              <w:t xml:space="preserve"> </w:t>
            </w:r>
            <w:r w:rsidRPr="00E840F1">
              <w:rPr>
                <w:sz w:val="24"/>
                <w:szCs w:val="24"/>
              </w:rPr>
              <w:t>до Закону України «Про публічні закупівлі», інших нормативно-правових</w:t>
            </w:r>
            <w:r>
              <w:rPr>
                <w:sz w:val="24"/>
                <w:szCs w:val="24"/>
              </w:rPr>
              <w:t xml:space="preserve"> </w:t>
            </w:r>
            <w:r w:rsidRPr="00E840F1">
              <w:rPr>
                <w:sz w:val="24"/>
                <w:szCs w:val="24"/>
              </w:rPr>
              <w:t>та організаційно-розпорядчих актів. Вивчення ринкових цін, отримання</w:t>
            </w:r>
            <w:r>
              <w:rPr>
                <w:sz w:val="24"/>
                <w:szCs w:val="24"/>
              </w:rPr>
              <w:t xml:space="preserve"> </w:t>
            </w:r>
            <w:r w:rsidRPr="00E840F1">
              <w:rPr>
                <w:sz w:val="24"/>
                <w:szCs w:val="24"/>
              </w:rPr>
              <w:t>від підприємств, установ, організацій комерційних пропозицій щодо їх вартості, якості, технічних характеристик тощо, їх порівняння з ринковими цінами, пошук більш вигідних цінових пропозицій. Своєчасне здійснення закупівель послуг                  та товарів для забезпечення охорони праці, цивільного захисту, паливо-мастильних матеріалів, послуг щодо страхування, технічного обслуговування</w:t>
            </w:r>
            <w:r>
              <w:rPr>
                <w:sz w:val="24"/>
                <w:szCs w:val="24"/>
              </w:rPr>
              <w:t xml:space="preserve"> </w:t>
            </w:r>
            <w:r w:rsidRPr="00E840F1">
              <w:rPr>
                <w:sz w:val="24"/>
                <w:szCs w:val="24"/>
              </w:rPr>
              <w:t>та ремонту транспортних засобів тощо;</w:t>
            </w:r>
          </w:p>
          <w:p w14:paraId="4D30CD6C" w14:textId="3005C256" w:rsidR="00E840F1" w:rsidRPr="00E840F1" w:rsidRDefault="00E840F1" w:rsidP="00E840F1">
            <w:pPr>
              <w:widowControl w:val="0"/>
              <w:shd w:val="clear" w:color="auto" w:fill="FFFFFF"/>
              <w:ind w:firstLine="335"/>
              <w:rPr>
                <w:sz w:val="24"/>
                <w:szCs w:val="24"/>
              </w:rPr>
            </w:pPr>
            <w:r w:rsidRPr="00E840F1">
              <w:rPr>
                <w:sz w:val="24"/>
                <w:szCs w:val="24"/>
              </w:rPr>
              <w:sym w:font="Symbol" w:char="F02D"/>
            </w:r>
            <w:r w:rsidRPr="00E840F1">
              <w:rPr>
                <w:sz w:val="24"/>
                <w:szCs w:val="24"/>
              </w:rPr>
              <w:t xml:space="preserve"> підготовка документів щодо публічних закупівель, їх облік </w:t>
            </w:r>
            <w:r>
              <w:rPr>
                <w:sz w:val="24"/>
                <w:szCs w:val="24"/>
              </w:rPr>
              <w:t xml:space="preserve">                    </w:t>
            </w:r>
            <w:r w:rsidRPr="00E840F1">
              <w:rPr>
                <w:sz w:val="24"/>
                <w:szCs w:val="24"/>
              </w:rPr>
              <w:t>та зберігання. Ведення звітності щодо здійснення процедур закупівель, надання</w:t>
            </w:r>
            <w:r>
              <w:rPr>
                <w:sz w:val="24"/>
                <w:szCs w:val="24"/>
              </w:rPr>
              <w:t xml:space="preserve"> </w:t>
            </w:r>
            <w:r w:rsidRPr="00E840F1">
              <w:rPr>
                <w:sz w:val="24"/>
                <w:szCs w:val="24"/>
              </w:rPr>
              <w:t>роз’яснень учасникам процедур публічних закупівель. Розміщення річних планів, тендерної документації</w:t>
            </w:r>
            <w:r>
              <w:rPr>
                <w:sz w:val="24"/>
                <w:szCs w:val="24"/>
              </w:rPr>
              <w:t xml:space="preserve"> </w:t>
            </w:r>
            <w:r w:rsidRPr="00E840F1">
              <w:rPr>
                <w:sz w:val="24"/>
                <w:szCs w:val="24"/>
              </w:rPr>
              <w:t xml:space="preserve">та звітування </w:t>
            </w:r>
            <w:r>
              <w:rPr>
                <w:sz w:val="24"/>
                <w:szCs w:val="24"/>
              </w:rPr>
              <w:t xml:space="preserve">                     </w:t>
            </w:r>
            <w:r w:rsidRPr="00E840F1">
              <w:rPr>
                <w:sz w:val="24"/>
                <w:szCs w:val="24"/>
              </w:rPr>
              <w:t>в електронній системі закупівель (</w:t>
            </w:r>
            <w:proofErr w:type="spellStart"/>
            <w:r w:rsidRPr="00E840F1">
              <w:rPr>
                <w:sz w:val="24"/>
                <w:szCs w:val="24"/>
              </w:rPr>
              <w:t>Prozorro</w:t>
            </w:r>
            <w:proofErr w:type="spellEnd"/>
            <w:r w:rsidRPr="00E840F1">
              <w:rPr>
                <w:sz w:val="24"/>
                <w:szCs w:val="24"/>
              </w:rPr>
              <w:t>);</w:t>
            </w:r>
          </w:p>
          <w:p w14:paraId="644591F5" w14:textId="07C04264" w:rsidR="00E840F1" w:rsidRPr="00E840F1" w:rsidRDefault="00E840F1" w:rsidP="00E840F1">
            <w:pPr>
              <w:widowControl w:val="0"/>
              <w:shd w:val="clear" w:color="auto" w:fill="FFFFFF"/>
              <w:ind w:firstLine="335"/>
              <w:rPr>
                <w:sz w:val="24"/>
                <w:szCs w:val="24"/>
              </w:rPr>
            </w:pPr>
            <w:r w:rsidRPr="00E840F1">
              <w:rPr>
                <w:sz w:val="24"/>
                <w:szCs w:val="24"/>
              </w:rPr>
              <w:sym w:font="Symbol" w:char="F02D"/>
            </w:r>
            <w:r w:rsidRPr="00E840F1">
              <w:rPr>
                <w:sz w:val="24"/>
                <w:szCs w:val="24"/>
              </w:rPr>
              <w:t> супроводження договорів про закупівлю. Прийняття товарів, робіт, послуг, перевірка їх відповідності укладеному договору. Засвідчення</w:t>
            </w:r>
            <w:r>
              <w:rPr>
                <w:sz w:val="24"/>
                <w:szCs w:val="24"/>
              </w:rPr>
              <w:t xml:space="preserve"> </w:t>
            </w:r>
            <w:r w:rsidRPr="00E840F1">
              <w:rPr>
                <w:sz w:val="24"/>
                <w:szCs w:val="24"/>
              </w:rPr>
              <w:t>на платіжних, первинних документах, актах, рапортах факту постачання товарів, робіт, послуг;</w:t>
            </w:r>
          </w:p>
          <w:p w14:paraId="5BFD6029" w14:textId="54525BF9" w:rsidR="00E840F1" w:rsidRPr="00E840F1" w:rsidRDefault="00E840F1" w:rsidP="00E840F1">
            <w:pPr>
              <w:widowControl w:val="0"/>
              <w:shd w:val="clear" w:color="auto" w:fill="FFFFFF"/>
              <w:ind w:firstLine="335"/>
              <w:rPr>
                <w:sz w:val="24"/>
                <w:szCs w:val="24"/>
              </w:rPr>
            </w:pPr>
            <w:r w:rsidRPr="00E840F1">
              <w:rPr>
                <w:sz w:val="24"/>
                <w:szCs w:val="24"/>
              </w:rPr>
              <w:sym w:font="Symbol" w:char="F02D"/>
            </w:r>
            <w:r w:rsidRPr="00E840F1">
              <w:rPr>
                <w:sz w:val="24"/>
                <w:szCs w:val="24"/>
              </w:rPr>
              <w:t> організація та контроль виконання заходів цивільного захисту. Координація, методичне забезпечення, інформування та надання роз’яснень</w:t>
            </w:r>
            <w:r>
              <w:rPr>
                <w:sz w:val="24"/>
                <w:szCs w:val="24"/>
              </w:rPr>
              <w:t xml:space="preserve"> </w:t>
            </w:r>
            <w:r w:rsidRPr="00E840F1">
              <w:rPr>
                <w:sz w:val="24"/>
                <w:szCs w:val="24"/>
              </w:rPr>
              <w:t>з питань цивільного захисту. Проведення вступних інструктажів, планування заходів з евакуації працівників, відвідувачів та майна органів прокуратури;</w:t>
            </w:r>
          </w:p>
          <w:p w14:paraId="225EDDE9" w14:textId="6C7C109C" w:rsidR="00E840F1" w:rsidRPr="00E840F1" w:rsidRDefault="00E840F1" w:rsidP="00E840F1">
            <w:pPr>
              <w:widowControl w:val="0"/>
              <w:shd w:val="clear" w:color="auto" w:fill="FFFFFF"/>
              <w:ind w:firstLine="335"/>
              <w:rPr>
                <w:sz w:val="24"/>
                <w:szCs w:val="24"/>
              </w:rPr>
            </w:pPr>
            <w:r w:rsidRPr="00E840F1">
              <w:rPr>
                <w:sz w:val="24"/>
                <w:szCs w:val="24"/>
              </w:rPr>
              <w:sym w:font="Symbol" w:char="F02D"/>
            </w:r>
            <w:r w:rsidRPr="00E840F1">
              <w:rPr>
                <w:sz w:val="24"/>
                <w:szCs w:val="24"/>
              </w:rPr>
              <w:t xml:space="preserve"> збір та внесення інформації до комп’ютерної програми «Інформаційно-Аналітична Система Управління Ресурсами» (ІАСУ-Р)  про кількість та стан нерухомого майна, службових транспортних засобів, інформації про споживання комунальних послуг  обласної прокуратури для автоматизації та </w:t>
            </w:r>
            <w:proofErr w:type="spellStart"/>
            <w:r w:rsidRPr="00E840F1">
              <w:rPr>
                <w:sz w:val="24"/>
                <w:szCs w:val="24"/>
              </w:rPr>
              <w:t>цифровізації</w:t>
            </w:r>
            <w:proofErr w:type="spellEnd"/>
            <w:r w:rsidRPr="00E840F1">
              <w:rPr>
                <w:sz w:val="24"/>
                <w:szCs w:val="24"/>
              </w:rPr>
              <w:t xml:space="preserve"> процесів, пов’язаних </w:t>
            </w:r>
            <w:r>
              <w:rPr>
                <w:sz w:val="24"/>
                <w:szCs w:val="24"/>
              </w:rPr>
              <w:t xml:space="preserve">                </w:t>
            </w:r>
            <w:r w:rsidRPr="00E840F1">
              <w:rPr>
                <w:sz w:val="24"/>
                <w:szCs w:val="24"/>
              </w:rPr>
              <w:t>із виконанням функцій ведення обліку, контролю</w:t>
            </w:r>
            <w:r>
              <w:rPr>
                <w:sz w:val="24"/>
                <w:szCs w:val="24"/>
              </w:rPr>
              <w:t xml:space="preserve"> </w:t>
            </w:r>
            <w:r w:rsidRPr="00E840F1">
              <w:rPr>
                <w:sz w:val="24"/>
                <w:szCs w:val="24"/>
              </w:rPr>
              <w:t>та для прийняття відповідних рішень;</w:t>
            </w:r>
          </w:p>
          <w:p w14:paraId="2C740565" w14:textId="78952BD3" w:rsidR="00E840F1" w:rsidRPr="00E840F1" w:rsidRDefault="00E840F1" w:rsidP="00E840F1">
            <w:pPr>
              <w:widowControl w:val="0"/>
              <w:shd w:val="clear" w:color="auto" w:fill="FFFFFF"/>
              <w:ind w:firstLine="335"/>
              <w:rPr>
                <w:sz w:val="24"/>
                <w:szCs w:val="24"/>
              </w:rPr>
            </w:pPr>
            <w:r w:rsidRPr="00E840F1">
              <w:rPr>
                <w:sz w:val="24"/>
                <w:szCs w:val="24"/>
              </w:rPr>
              <w:sym w:font="Symbol" w:char="F02D"/>
            </w:r>
            <w:r w:rsidRPr="00E840F1">
              <w:rPr>
                <w:sz w:val="24"/>
                <w:szCs w:val="24"/>
              </w:rPr>
              <w:t xml:space="preserve"> розробка </w:t>
            </w:r>
            <w:proofErr w:type="spellStart"/>
            <w:r w:rsidRPr="00E840F1">
              <w:rPr>
                <w:sz w:val="24"/>
                <w:szCs w:val="24"/>
              </w:rPr>
              <w:t>проєктів</w:t>
            </w:r>
            <w:proofErr w:type="spellEnd"/>
            <w:r w:rsidRPr="00E840F1">
              <w:rPr>
                <w:sz w:val="24"/>
                <w:szCs w:val="24"/>
              </w:rPr>
              <w:t xml:space="preserve"> положень, інструкцій з цивільного захисту, організаційно-розпорядчих та інших документів з питань цивільного захисту в органах прокуратури області;</w:t>
            </w:r>
          </w:p>
          <w:p w14:paraId="79FFADAF" w14:textId="6CA4A448" w:rsidR="00E840F1" w:rsidRPr="00E840F1" w:rsidRDefault="00E840F1" w:rsidP="00E840F1">
            <w:pPr>
              <w:widowControl w:val="0"/>
              <w:shd w:val="clear" w:color="auto" w:fill="FFFFFF"/>
              <w:ind w:firstLine="335"/>
              <w:rPr>
                <w:sz w:val="24"/>
                <w:szCs w:val="24"/>
              </w:rPr>
            </w:pPr>
            <w:r w:rsidRPr="00E840F1">
              <w:rPr>
                <w:sz w:val="24"/>
                <w:szCs w:val="24"/>
              </w:rPr>
              <w:sym w:font="Symbol" w:char="F02D"/>
            </w:r>
            <w:r w:rsidRPr="00E840F1">
              <w:rPr>
                <w:sz w:val="24"/>
                <w:szCs w:val="24"/>
              </w:rPr>
              <w:t xml:space="preserve"> організація та здійснення заходів з охорони праці діяльності прокуратури області, координація та методичне забезпечення </w:t>
            </w:r>
            <w:r>
              <w:rPr>
                <w:sz w:val="24"/>
                <w:szCs w:val="24"/>
              </w:rPr>
              <w:t xml:space="preserve">                     </w:t>
            </w:r>
            <w:r w:rsidRPr="00E840F1">
              <w:rPr>
                <w:sz w:val="24"/>
                <w:szCs w:val="24"/>
              </w:rPr>
              <w:t>щодо роботи з охорони праці</w:t>
            </w:r>
            <w:r>
              <w:rPr>
                <w:sz w:val="24"/>
                <w:szCs w:val="24"/>
              </w:rPr>
              <w:t xml:space="preserve"> </w:t>
            </w:r>
            <w:r w:rsidRPr="00E840F1">
              <w:rPr>
                <w:sz w:val="24"/>
                <w:szCs w:val="24"/>
              </w:rPr>
              <w:t>в органах прокуратури області. Контроль за дотриманням законодавчих і нормативно-правових актів з охорони праці. Забезпечення реалізації</w:t>
            </w:r>
            <w:r>
              <w:rPr>
                <w:sz w:val="24"/>
                <w:szCs w:val="24"/>
              </w:rPr>
              <w:t xml:space="preserve"> </w:t>
            </w:r>
            <w:r w:rsidRPr="00E840F1">
              <w:rPr>
                <w:sz w:val="24"/>
                <w:szCs w:val="24"/>
              </w:rPr>
              <w:t xml:space="preserve">та впровадження засад державної політики у галузі охорони праці в органах прокуратури області. Проведення вступних інструктажів з питань охорони праці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E840F1">
              <w:rPr>
                <w:sz w:val="24"/>
                <w:szCs w:val="24"/>
              </w:rPr>
              <w:t>для працівників органів прокуратури області. Розробка документів, інформування та надання роз’яснень з питань охорони праці. Організація навчання працівників з питань охорони праці. Виконання приписів з питань охорони праці, а також заходів з усунення причин нещасних випадків,  зазначених в актах розслідування цих подій;</w:t>
            </w:r>
          </w:p>
          <w:p w14:paraId="60B7030A" w14:textId="2DCC4FF7" w:rsidR="00E840F1" w:rsidRPr="00E840F1" w:rsidRDefault="00E840F1" w:rsidP="00E840F1">
            <w:pPr>
              <w:widowControl w:val="0"/>
              <w:shd w:val="clear" w:color="auto" w:fill="FFFFFF"/>
              <w:ind w:firstLine="335"/>
              <w:rPr>
                <w:sz w:val="24"/>
                <w:szCs w:val="24"/>
              </w:rPr>
            </w:pPr>
            <w:r w:rsidRPr="00E840F1">
              <w:rPr>
                <w:sz w:val="24"/>
                <w:szCs w:val="24"/>
              </w:rPr>
              <w:lastRenderedPageBreak/>
              <w:sym w:font="Symbol" w:char="F02D"/>
            </w:r>
            <w:r w:rsidRPr="00E840F1">
              <w:rPr>
                <w:sz w:val="24"/>
                <w:szCs w:val="24"/>
              </w:rPr>
              <w:t xml:space="preserve"> контроль за своєчасним та повним наданням щомісячної звітності окружними прокуратурами по використанню енергоносіїв, організація її надання до відповідних енергогенеруючих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E840F1">
              <w:rPr>
                <w:sz w:val="24"/>
                <w:szCs w:val="24"/>
              </w:rPr>
              <w:t>та енергопередаючих компаній;</w:t>
            </w:r>
          </w:p>
          <w:p w14:paraId="67FC8932" w14:textId="4C92DE92" w:rsidR="00E840F1" w:rsidRPr="00E840F1" w:rsidRDefault="00E840F1" w:rsidP="00E840F1">
            <w:pPr>
              <w:widowControl w:val="0"/>
              <w:shd w:val="clear" w:color="auto" w:fill="FFFFFF"/>
              <w:ind w:firstLine="335"/>
              <w:rPr>
                <w:sz w:val="24"/>
                <w:szCs w:val="24"/>
              </w:rPr>
            </w:pPr>
            <w:r w:rsidRPr="00E840F1">
              <w:rPr>
                <w:sz w:val="24"/>
                <w:szCs w:val="24"/>
              </w:rPr>
              <w:sym w:font="Symbol" w:char="F02D"/>
            </w:r>
            <w:r w:rsidRPr="00E840F1">
              <w:rPr>
                <w:sz w:val="24"/>
                <w:szCs w:val="24"/>
              </w:rPr>
              <w:t xml:space="preserve"> контроль за дотриманням </w:t>
            </w:r>
            <w:proofErr w:type="spellStart"/>
            <w:r w:rsidRPr="00E840F1">
              <w:rPr>
                <w:sz w:val="24"/>
                <w:szCs w:val="24"/>
              </w:rPr>
              <w:t>міжповірочних</w:t>
            </w:r>
            <w:proofErr w:type="spellEnd"/>
            <w:r w:rsidRPr="00E840F1">
              <w:rPr>
                <w:sz w:val="24"/>
                <w:szCs w:val="24"/>
              </w:rPr>
              <w:t xml:space="preserve"> інтервалів засобів вимірювання комерційних вузлів обліку споживання енергоносіїв </w:t>
            </w:r>
            <w:r>
              <w:rPr>
                <w:sz w:val="24"/>
                <w:szCs w:val="24"/>
              </w:rPr>
              <w:t xml:space="preserve">                   </w:t>
            </w:r>
            <w:r w:rsidRPr="00E840F1">
              <w:rPr>
                <w:sz w:val="24"/>
                <w:szCs w:val="24"/>
              </w:rPr>
              <w:t>та забезпечення виконання їх своєчасної повірки;</w:t>
            </w:r>
          </w:p>
          <w:p w14:paraId="4CFA0F3D" w14:textId="45A27040" w:rsidR="005A09A3" w:rsidRPr="00E840F1" w:rsidRDefault="00E840F1" w:rsidP="00E840F1">
            <w:pPr>
              <w:widowControl w:val="0"/>
              <w:shd w:val="clear" w:color="auto" w:fill="FFFFFF"/>
              <w:ind w:firstLine="335"/>
              <w:rPr>
                <w:szCs w:val="28"/>
              </w:rPr>
            </w:pPr>
            <w:r w:rsidRPr="00E840F1">
              <w:rPr>
                <w:sz w:val="24"/>
                <w:szCs w:val="24"/>
              </w:rPr>
              <w:sym w:font="Symbol" w:char="F02D"/>
            </w:r>
            <w:r w:rsidRPr="00E840F1">
              <w:rPr>
                <w:sz w:val="24"/>
                <w:szCs w:val="24"/>
              </w:rPr>
              <w:t> виконання інших доручень начальника відділу організації закупівель, матеріально-технічного забезпечення та цивільного захисту з питань, віднесених до компетенції відділу.</w:t>
            </w:r>
          </w:p>
        </w:tc>
      </w:tr>
      <w:tr w:rsidR="00B56C4B" w:rsidRPr="00FB1754" w14:paraId="7E115C87" w14:textId="77777777" w:rsidTr="00E840F1">
        <w:trPr>
          <w:trHeight w:val="1544"/>
        </w:trPr>
        <w:tc>
          <w:tcPr>
            <w:tcW w:w="1985" w:type="dxa"/>
            <w:gridSpan w:val="2"/>
          </w:tcPr>
          <w:p w14:paraId="75B0ACF4" w14:textId="77777777" w:rsidR="00B56C4B" w:rsidRPr="00FB1754" w:rsidRDefault="00B56C4B" w:rsidP="008B74AF">
            <w:pPr>
              <w:widowControl w:val="0"/>
              <w:jc w:val="left"/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938" w:type="dxa"/>
          </w:tcPr>
          <w:p w14:paraId="15E7F0E6" w14:textId="1C7690B0" w:rsidR="002B29F3" w:rsidRPr="00801508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 xml:space="preserve">, надбавки, доплати, премії та компенсації відповідно </w:t>
            </w:r>
            <w:r w:rsidR="00B579A4" w:rsidRPr="00B579A4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155D1E">
              <w:rPr>
                <w:sz w:val="24"/>
              </w:rPr>
              <w:t>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</w:t>
            </w:r>
            <w:r w:rsidR="0058230F">
              <w:rPr>
                <w:sz w:val="24"/>
              </w:rPr>
              <w:t> </w:t>
            </w:r>
            <w:r>
              <w:rPr>
                <w:sz w:val="24"/>
              </w:rPr>
              <w:t>1409 «Питання оплати праці державних службовців на основі класифікації посад</w:t>
            </w:r>
            <w:r w:rsidR="002B29F3">
              <w:rPr>
                <w:sz w:val="24"/>
              </w:rPr>
              <w:t xml:space="preserve"> </w:t>
            </w:r>
            <w:r>
              <w:rPr>
                <w:sz w:val="24"/>
              </w:rPr>
              <w:t>у 202</w:t>
            </w:r>
            <w:r w:rsidR="00155D1E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E840F1">
        <w:trPr>
          <w:trHeight w:val="1740"/>
        </w:trPr>
        <w:tc>
          <w:tcPr>
            <w:tcW w:w="1985" w:type="dxa"/>
            <w:gridSpan w:val="2"/>
          </w:tcPr>
          <w:p w14:paraId="7B1790FD" w14:textId="4DC61F30" w:rsidR="00B56C4B" w:rsidRPr="00801508" w:rsidRDefault="00B56C4B" w:rsidP="008B74AF">
            <w:pPr>
              <w:widowControl w:val="0"/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938" w:type="dxa"/>
          </w:tcPr>
          <w:p w14:paraId="49065379" w14:textId="6FD664FE" w:rsidR="00B56C4B" w:rsidRPr="00432A05" w:rsidRDefault="00B56C4B" w:rsidP="008B74AF">
            <w:pPr>
              <w:widowControl w:val="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26520471" w:rsidR="002B29F3" w:rsidRPr="00C955BE" w:rsidRDefault="00B56C4B" w:rsidP="008B74AF">
            <w:pPr>
              <w:widowControl w:val="0"/>
              <w:ind w:firstLine="318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E840F1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8B74AF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55E1A3A7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F4BA33D" w14:textId="18276463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33C219E0" w14:textId="0FC5CA1E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235710D2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копія облікової картки платника податків (окрім фізичних осіб, </w:t>
            </w:r>
            <w:r w:rsidR="00B579A4" w:rsidRPr="00B579A4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які через свої релігійні переконання відмовляються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від прийняття реєстраційного номера облікової картки платника податків 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та повідомили про це відповідний контролюючий орган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98D14A8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проходження перевірки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>та на оприлюднення відомостей стосовно неї відповідно до зазначеного Закону або завірена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14:paraId="196018B1" w14:textId="7D9B7C83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на виконання функцій держави або місцевого самоврядування, 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</w:rPr>
              <w:t>за минулий рік;</w:t>
            </w:r>
          </w:p>
          <w:p w14:paraId="70D22E2A" w14:textId="67FD3A4D" w:rsidR="002B29F3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 xml:space="preserve">державний сертифікат про рівень володіння державною мовою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</w:t>
            </w:r>
            <w:r w:rsidRPr="00543F1E">
              <w:rPr>
                <w:rFonts w:ascii="Times New Roman" w:hAnsi="Times New Roman" w:cs="Times New Roman"/>
                <w:sz w:val="24"/>
              </w:rPr>
              <w:t>(за наявності).</w:t>
            </w:r>
          </w:p>
          <w:p w14:paraId="78B28CBD" w14:textId="77777777" w:rsidR="00E840F1" w:rsidRPr="002B29F3" w:rsidRDefault="00E840F1" w:rsidP="00E840F1">
            <w:pPr>
              <w:pStyle w:val="a6"/>
              <w:widowControl w:val="0"/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5A1C313" w14:textId="74FFE360" w:rsidR="002B29F3" w:rsidRPr="002B29F3" w:rsidRDefault="00B56C4B" w:rsidP="008B74AF">
            <w:pPr>
              <w:widowControl w:val="0"/>
              <w:ind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43279B">
              <w:rPr>
                <w:rFonts w:cs="Times New Roman"/>
                <w:b/>
                <w:bCs/>
                <w:sz w:val="24"/>
                <w:lang w:val="ru-RU"/>
              </w:rPr>
              <w:t>18</w:t>
            </w:r>
            <w:r w:rsidR="0043279B" w:rsidRPr="0043279B">
              <w:rPr>
                <w:rFonts w:cs="Times New Roman"/>
                <w:b/>
                <w:bCs/>
                <w:sz w:val="24"/>
                <w:lang w:val="ru-RU"/>
              </w:rPr>
              <w:t>:00</w:t>
            </w:r>
            <w:r w:rsidRPr="00D76661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6719C5">
              <w:rPr>
                <w:rFonts w:cs="Times New Roman"/>
                <w:b/>
                <w:bCs/>
                <w:sz w:val="24"/>
                <w:lang w:val="ru-RU"/>
              </w:rPr>
              <w:t>04</w:t>
            </w:r>
            <w:r w:rsidR="005A09A3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43279B">
              <w:rPr>
                <w:rFonts w:cs="Times New Roman"/>
                <w:b/>
                <w:bCs/>
                <w:sz w:val="24"/>
                <w:lang w:val="ru-RU"/>
              </w:rPr>
              <w:t>червня</w:t>
            </w:r>
            <w:r w:rsidR="00155D1E">
              <w:rPr>
                <w:rFonts w:cs="Times New Roman"/>
                <w:b/>
                <w:bCs/>
                <w:sz w:val="24"/>
              </w:rPr>
              <w:t xml:space="preserve"> </w:t>
            </w:r>
            <w:r w:rsidRPr="00D76661">
              <w:rPr>
                <w:rFonts w:cs="Times New Roman"/>
                <w:b/>
                <w:bCs/>
                <w:sz w:val="24"/>
              </w:rPr>
              <w:t>202</w:t>
            </w:r>
            <w:r w:rsidR="00D76661" w:rsidRPr="00D76661">
              <w:rPr>
                <w:rFonts w:cs="Times New Roman"/>
                <w:b/>
                <w:bCs/>
                <w:sz w:val="24"/>
              </w:rPr>
              <w:t>5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 w:rsidR="00B579A4" w:rsidRPr="00B579A4">
              <w:rPr>
                <w:rFonts w:cs="Times New Roman"/>
                <w:sz w:val="24"/>
                <w:lang w:val="ru-RU"/>
              </w:rPr>
              <w:t xml:space="preserve">              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C955BE"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E840F1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8B74A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16DD05A2" w:rsidR="00E05E29" w:rsidRPr="00EB2BAC" w:rsidRDefault="00B56C4B" w:rsidP="008B74A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7DF8B384" w:rsidR="00B56C4B" w:rsidRDefault="00D76661" w:rsidP="008B74AF">
            <w:pPr>
              <w:widowControl w:val="0"/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8B74AF">
            <w:pPr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8B74AF">
            <w:pPr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8B74AF">
            <w:pPr>
              <w:widowControl w:val="0"/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bookmarkStart w:id="1" w:name="_GoBack"/>
            <w:bookmarkEnd w:id="1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3"/>
          </w:tcPr>
          <w:p w14:paraId="10DCE695" w14:textId="382DC928" w:rsidR="00E05E29" w:rsidRPr="00FB1754" w:rsidRDefault="00B56C4B" w:rsidP="008B74AF">
            <w:pPr>
              <w:widowControl w:val="0"/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B56C4B" w:rsidRPr="00FB1754" w14:paraId="433FB299" w14:textId="77777777" w:rsidTr="00E840F1">
        <w:tc>
          <w:tcPr>
            <w:tcW w:w="422" w:type="dxa"/>
          </w:tcPr>
          <w:p w14:paraId="1593BF17" w14:textId="77777777" w:rsidR="00B56C4B" w:rsidRPr="00FB1754" w:rsidRDefault="00B56C4B" w:rsidP="008B74AF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563" w:type="dxa"/>
          </w:tcPr>
          <w:p w14:paraId="601689E1" w14:textId="77777777" w:rsidR="00B56C4B" w:rsidRPr="00FB1754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7938" w:type="dxa"/>
          </w:tcPr>
          <w:p w14:paraId="32500795" w14:textId="26BC4720" w:rsidR="00B56C4B" w:rsidRPr="001302A8" w:rsidRDefault="001302A8" w:rsidP="008B74AF">
            <w:pPr>
              <w:widowControl w:val="0"/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E840F1">
        <w:tc>
          <w:tcPr>
            <w:tcW w:w="422" w:type="dxa"/>
          </w:tcPr>
          <w:p w14:paraId="7DB37EC1" w14:textId="77777777" w:rsidR="00B56C4B" w:rsidRPr="00FB1754" w:rsidRDefault="00B56C4B" w:rsidP="008B74AF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563" w:type="dxa"/>
          </w:tcPr>
          <w:p w14:paraId="6A12B6E2" w14:textId="77777777" w:rsidR="00B56C4B" w:rsidRPr="00FB1754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7938" w:type="dxa"/>
          </w:tcPr>
          <w:p w14:paraId="525E96CD" w14:textId="1D957584" w:rsidR="00B56C4B" w:rsidRPr="005B1AB6" w:rsidRDefault="00B56C4B" w:rsidP="008B74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E840F1">
        <w:trPr>
          <w:trHeight w:val="270"/>
        </w:trPr>
        <w:tc>
          <w:tcPr>
            <w:tcW w:w="422" w:type="dxa"/>
          </w:tcPr>
          <w:p w14:paraId="5E4F8B13" w14:textId="77777777" w:rsidR="00B56C4B" w:rsidRPr="00FB1754" w:rsidRDefault="00B56C4B" w:rsidP="008B74AF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563" w:type="dxa"/>
          </w:tcPr>
          <w:p w14:paraId="2C974B12" w14:textId="77777777" w:rsidR="00B56C4B" w:rsidRPr="00FB1754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5C82BE5C" w:rsidR="007D4409" w:rsidRPr="00FB1754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7938" w:type="dxa"/>
          </w:tcPr>
          <w:p w14:paraId="63FDB019" w14:textId="77777777" w:rsidR="00B56C4B" w:rsidRPr="00FB1754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3"/>
            <w:vAlign w:val="center"/>
          </w:tcPr>
          <w:p w14:paraId="03E3B78A" w14:textId="77777777" w:rsidR="00B56C4B" w:rsidRPr="008D2A80" w:rsidRDefault="00B56C4B" w:rsidP="008B74AF">
            <w:pPr>
              <w:widowControl w:val="0"/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8B74AF">
            <w:pPr>
              <w:widowControl w:val="0"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E840F1">
        <w:trPr>
          <w:trHeight w:val="198"/>
        </w:trPr>
        <w:tc>
          <w:tcPr>
            <w:tcW w:w="422" w:type="dxa"/>
          </w:tcPr>
          <w:p w14:paraId="12633401" w14:textId="77777777" w:rsidR="00B56C4B" w:rsidRPr="00FB1754" w:rsidRDefault="00B56C4B" w:rsidP="008B74AF">
            <w:pPr>
              <w:widowControl w:val="0"/>
              <w:rPr>
                <w:sz w:val="24"/>
              </w:rPr>
            </w:pPr>
          </w:p>
        </w:tc>
        <w:tc>
          <w:tcPr>
            <w:tcW w:w="1563" w:type="dxa"/>
          </w:tcPr>
          <w:p w14:paraId="51586723" w14:textId="09CA15E8" w:rsidR="00B56C4B" w:rsidRPr="005B1AB6" w:rsidRDefault="00B56C4B" w:rsidP="008B74AF">
            <w:pPr>
              <w:widowControl w:val="0"/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7938" w:type="dxa"/>
          </w:tcPr>
          <w:p w14:paraId="47798FD8" w14:textId="77777777" w:rsidR="00B56C4B" w:rsidRPr="008D2A80" w:rsidRDefault="00B56C4B" w:rsidP="008B74AF">
            <w:pPr>
              <w:widowControl w:val="0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8B74AF">
            <w:pPr>
              <w:widowControl w:val="0"/>
              <w:rPr>
                <w:b/>
                <w:sz w:val="4"/>
                <w:szCs w:val="4"/>
              </w:rPr>
            </w:pPr>
          </w:p>
        </w:tc>
      </w:tr>
      <w:tr w:rsidR="00C955BE" w:rsidRPr="00FB1754" w14:paraId="2A660972" w14:textId="77777777" w:rsidTr="00E840F1">
        <w:trPr>
          <w:trHeight w:val="144"/>
        </w:trPr>
        <w:tc>
          <w:tcPr>
            <w:tcW w:w="422" w:type="dxa"/>
          </w:tcPr>
          <w:p w14:paraId="1BB21B10" w14:textId="77777777" w:rsidR="00C955BE" w:rsidRPr="005C0408" w:rsidRDefault="00C955BE" w:rsidP="008B74AF">
            <w:pPr>
              <w:widowControl w:val="0"/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1563" w:type="dxa"/>
          </w:tcPr>
          <w:p w14:paraId="1AC4FE65" w14:textId="1B810A07" w:rsidR="00C955BE" w:rsidRPr="001302A8" w:rsidRDefault="00C955BE" w:rsidP="008B74A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7938" w:type="dxa"/>
          </w:tcPr>
          <w:p w14:paraId="50D3F6B9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6EACF730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7C93E06C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50159654" w:rsidR="00C955BE" w:rsidRPr="005A38C0" w:rsidRDefault="00C955BE" w:rsidP="008B74AF">
            <w:pPr>
              <w:widowControl w:val="0"/>
              <w:tabs>
                <w:tab w:val="left" w:pos="360"/>
                <w:tab w:val="left" w:pos="457"/>
              </w:tabs>
              <w:rPr>
                <w:rFonts w:cs="Times New Roman"/>
                <w:sz w:val="24"/>
                <w:szCs w:val="24"/>
              </w:rPr>
            </w:pPr>
            <w:r w:rsidRPr="00331F7F">
              <w:rPr>
                <w:rFonts w:cs="Times New Roman"/>
                <w:sz w:val="24"/>
                <w:szCs w:val="24"/>
              </w:rPr>
              <w:t>- уміння управляти результатом і бачити прогрес.</w:t>
            </w:r>
          </w:p>
        </w:tc>
      </w:tr>
      <w:tr w:rsidR="00C955BE" w:rsidRPr="00FB1754" w14:paraId="7813303F" w14:textId="77777777" w:rsidTr="00E840F1">
        <w:trPr>
          <w:trHeight w:val="333"/>
        </w:trPr>
        <w:tc>
          <w:tcPr>
            <w:tcW w:w="422" w:type="dxa"/>
          </w:tcPr>
          <w:p w14:paraId="2785239F" w14:textId="77777777" w:rsidR="00C955BE" w:rsidRPr="005C0408" w:rsidRDefault="00C955BE" w:rsidP="008B74AF">
            <w:pPr>
              <w:widowControl w:val="0"/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1563" w:type="dxa"/>
          </w:tcPr>
          <w:p w14:paraId="39B44FFF" w14:textId="7788C99F" w:rsidR="00C955BE" w:rsidRPr="001302A8" w:rsidRDefault="00C955BE" w:rsidP="008B74A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7938" w:type="dxa"/>
          </w:tcPr>
          <w:p w14:paraId="39BE2F5C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502BC253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39CAC531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2FBB6E1" w:rsidR="00C955BE" w:rsidRPr="005A38C0" w:rsidRDefault="00C955BE" w:rsidP="008B74AF">
            <w:pPr>
              <w:widowControl w:val="0"/>
              <w:tabs>
                <w:tab w:val="left" w:pos="0"/>
                <w:tab w:val="left" w:pos="4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C955BE" w:rsidRPr="00FB1754" w14:paraId="40767C09" w14:textId="77777777" w:rsidTr="00E840F1">
        <w:trPr>
          <w:trHeight w:val="1907"/>
        </w:trPr>
        <w:tc>
          <w:tcPr>
            <w:tcW w:w="422" w:type="dxa"/>
          </w:tcPr>
          <w:p w14:paraId="132EDA93" w14:textId="77777777" w:rsidR="00C955BE" w:rsidRPr="005C0408" w:rsidRDefault="00C955BE" w:rsidP="008B74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1563" w:type="dxa"/>
          </w:tcPr>
          <w:p w14:paraId="0784035C" w14:textId="076082CF" w:rsidR="00C955BE" w:rsidRPr="001302A8" w:rsidRDefault="00C955BE" w:rsidP="008B74A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7938" w:type="dxa"/>
          </w:tcPr>
          <w:p w14:paraId="010A1DA9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7C208E85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3B1A0E7" w14:textId="1D674B76" w:rsidR="00C955BE" w:rsidRPr="00BC5ED9" w:rsidRDefault="00C955BE" w:rsidP="008B74AF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брати на себе зобов’язання, чітко їх дотримуватись</w:t>
            </w:r>
            <w:r w:rsidR="00155D1E"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294997">
              <w:rPr>
                <w:rFonts w:cs="Times New Roman"/>
                <w:sz w:val="24"/>
                <w:szCs w:val="24"/>
              </w:rPr>
              <w:t xml:space="preserve">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3"/>
          </w:tcPr>
          <w:p w14:paraId="1C812F00" w14:textId="77777777" w:rsidR="00B56C4B" w:rsidRPr="00102CC7" w:rsidRDefault="00B56C4B" w:rsidP="008B74A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8B74A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8B74A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E840F1">
        <w:trPr>
          <w:trHeight w:val="120"/>
        </w:trPr>
        <w:tc>
          <w:tcPr>
            <w:tcW w:w="422" w:type="dxa"/>
          </w:tcPr>
          <w:p w14:paraId="66A83839" w14:textId="77777777" w:rsidR="00B56C4B" w:rsidRPr="00FB1754" w:rsidRDefault="00B56C4B" w:rsidP="008B74AF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8B74AF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1563" w:type="dxa"/>
          </w:tcPr>
          <w:p w14:paraId="12D9C43D" w14:textId="77777777" w:rsidR="00B56C4B" w:rsidRPr="00102CC7" w:rsidRDefault="00B56C4B" w:rsidP="008B74A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7938" w:type="dxa"/>
          </w:tcPr>
          <w:p w14:paraId="004E0B23" w14:textId="5FF702A1" w:rsidR="00B56C4B" w:rsidRPr="00102CC7" w:rsidRDefault="00B56C4B" w:rsidP="008B74A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E840F1">
        <w:trPr>
          <w:trHeight w:val="1440"/>
        </w:trPr>
        <w:tc>
          <w:tcPr>
            <w:tcW w:w="422" w:type="dxa"/>
          </w:tcPr>
          <w:p w14:paraId="2D493B30" w14:textId="77777777" w:rsidR="001302A8" w:rsidRPr="00FB1754" w:rsidRDefault="001302A8" w:rsidP="008B74AF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563" w:type="dxa"/>
          </w:tcPr>
          <w:p w14:paraId="6D706EA9" w14:textId="1FFD5599" w:rsidR="001302A8" w:rsidRPr="0059050F" w:rsidRDefault="001302A8" w:rsidP="008B74A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7938" w:type="dxa"/>
          </w:tcPr>
          <w:p w14:paraId="55665EE4" w14:textId="77777777" w:rsidR="001302A8" w:rsidRPr="00BC7791" w:rsidRDefault="001302A8" w:rsidP="008B74A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8B74A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8B74A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8B74A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8B74AF" w:rsidRPr="00FB1754" w14:paraId="7F952465" w14:textId="77777777" w:rsidTr="00E840F1">
        <w:trPr>
          <w:trHeight w:val="132"/>
        </w:trPr>
        <w:tc>
          <w:tcPr>
            <w:tcW w:w="422" w:type="dxa"/>
          </w:tcPr>
          <w:p w14:paraId="5B1F087A" w14:textId="77777777" w:rsidR="008B74AF" w:rsidRPr="00FB1754" w:rsidRDefault="008B74AF" w:rsidP="008B74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3" w:type="dxa"/>
          </w:tcPr>
          <w:p w14:paraId="48B58CBB" w14:textId="77777777" w:rsidR="008B74AF" w:rsidRDefault="008B74AF" w:rsidP="008B74A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77E4B660" w:rsidR="008B74AF" w:rsidRPr="0059050F" w:rsidRDefault="008B74AF" w:rsidP="008B74A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7938" w:type="dxa"/>
          </w:tcPr>
          <w:p w14:paraId="49F9615B" w14:textId="77777777" w:rsidR="008B74AF" w:rsidRPr="008B74AF" w:rsidRDefault="008B74AF" w:rsidP="008B74A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8B74AF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7F18C79B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8B7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74AE868F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666D0286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7F06C224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4152DBC2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 xml:space="preserve">Тимчасової інструкції з діловодства в органах прокуратури </w:t>
            </w:r>
            <w:r w:rsidRPr="008B7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України, затвердженої наказом Генеральної прокуратури України від 12.02.2019 № 27 (зі змінами);</w:t>
            </w:r>
          </w:p>
          <w:p w14:paraId="22C584E9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Укра</w:t>
            </w:r>
            <w:proofErr w:type="spellStart"/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їни</w:t>
            </w:r>
            <w:proofErr w:type="spellEnd"/>
            <w:r w:rsidRPr="008B74AF">
              <w:rPr>
                <w:rFonts w:ascii="Times New Roman" w:hAnsi="Times New Roman" w:cs="Times New Roman"/>
                <w:sz w:val="24"/>
                <w:szCs w:val="24"/>
              </w:rPr>
              <w:t xml:space="preserve"> «Про публічні закупівлі»;</w:t>
            </w:r>
          </w:p>
          <w:p w14:paraId="0E88938C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Кодекс цивільного захисту України, законодавчі та нормативні акти з питань цивільного захисту;</w:t>
            </w:r>
          </w:p>
          <w:p w14:paraId="28911E7A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Постанову КМУ від 26.06.2013 № 444 «Про затвердження Порядку здійснення навчання населення діям у надзвичайних ситуаціях»</w:t>
            </w: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24B0622" w14:textId="0117982C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Постанову КМУ від 23.10.2013 № 819 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захисту»;</w:t>
            </w:r>
          </w:p>
          <w:p w14:paraId="7337420E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 xml:space="preserve"> КМУ від 09</w:t>
            </w: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 xml:space="preserve">2014 № 11 </w:t>
            </w: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єдину державну систему цивільного захисту</w:t>
            </w: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0F6A6443" w14:textId="5A5EC77B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затвердженої наказом Генеральної прокуратури України від 27.09.2022 № 199.</w:t>
            </w:r>
          </w:p>
        </w:tc>
      </w:tr>
      <w:tr w:rsidR="008B74AF" w:rsidRPr="00FB1754" w14:paraId="5A41A204" w14:textId="77777777" w:rsidTr="00E840F1">
        <w:trPr>
          <w:trHeight w:val="363"/>
        </w:trPr>
        <w:tc>
          <w:tcPr>
            <w:tcW w:w="422" w:type="dxa"/>
          </w:tcPr>
          <w:p w14:paraId="71B39C8A" w14:textId="1D6B90B7" w:rsidR="008B74AF" w:rsidRDefault="008B74AF" w:rsidP="008B74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563" w:type="dxa"/>
          </w:tcPr>
          <w:p w14:paraId="12894133" w14:textId="4E8D7FF3" w:rsidR="008B74AF" w:rsidRDefault="008B74AF" w:rsidP="008B74AF">
            <w:pPr>
              <w:widowControl w:val="0"/>
              <w:jc w:val="left"/>
              <w:rPr>
                <w:sz w:val="24"/>
              </w:rPr>
            </w:pPr>
            <w:r w:rsidRPr="00CD1460"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7938" w:type="dxa"/>
          </w:tcPr>
          <w:p w14:paraId="36970257" w14:textId="307D807C" w:rsidR="008B74AF" w:rsidRPr="005A09A3" w:rsidRDefault="008B74AF" w:rsidP="008B74A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highlight w:val="yellow"/>
                <w:u w:val="single"/>
              </w:rPr>
            </w:pPr>
            <w:r w:rsidRPr="00B8658C">
              <w:rPr>
                <w:rFonts w:eastAsia="Times New Roman" w:cs="Times New Roman"/>
                <w:sz w:val="24"/>
                <w:szCs w:val="24"/>
                <w:lang w:eastAsia="ru-RU"/>
              </w:rPr>
              <w:t>Знання особливостей роботи з документами в інформаційних системах електронного документообігу</w:t>
            </w:r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майданчику</w:t>
            </w:r>
            <w:proofErr w:type="spellEnd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публічних</w:t>
            </w:r>
            <w:proofErr w:type="spellEnd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закупівель </w:t>
            </w:r>
            <w:proofErr w:type="spellStart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Prozorro</w:t>
            </w:r>
            <w:proofErr w:type="spellEnd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2B29F3">
      <w:headerReference w:type="default" r:id="rId8"/>
      <w:pgSz w:w="11906" w:h="16838" w:code="9"/>
      <w:pgMar w:top="1021" w:right="567" w:bottom="1021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AEE92" w14:textId="77777777" w:rsidR="0092377E" w:rsidRDefault="0092377E">
      <w:r>
        <w:separator/>
      </w:r>
    </w:p>
  </w:endnote>
  <w:endnote w:type="continuationSeparator" w:id="0">
    <w:p w14:paraId="05B81144" w14:textId="77777777" w:rsidR="0092377E" w:rsidRDefault="0092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6A321" w14:textId="77777777" w:rsidR="0092377E" w:rsidRDefault="0092377E">
      <w:r>
        <w:separator/>
      </w:r>
    </w:p>
  </w:footnote>
  <w:footnote w:type="continuationSeparator" w:id="0">
    <w:p w14:paraId="7AC4CAE1" w14:textId="77777777" w:rsidR="0092377E" w:rsidRDefault="0092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6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4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1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8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5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2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0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7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45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E336BB"/>
    <w:multiLevelType w:val="hybridMultilevel"/>
    <w:tmpl w:val="C6EE31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5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726A9"/>
    <w:multiLevelType w:val="hybridMultilevel"/>
    <w:tmpl w:val="CC1CE88C"/>
    <w:lvl w:ilvl="0" w:tplc="4B6251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33"/>
  </w:num>
  <w:num w:numId="5">
    <w:abstractNumId w:val="14"/>
  </w:num>
  <w:num w:numId="6">
    <w:abstractNumId w:val="15"/>
  </w:num>
  <w:num w:numId="7">
    <w:abstractNumId w:val="26"/>
  </w:num>
  <w:num w:numId="8">
    <w:abstractNumId w:val="36"/>
  </w:num>
  <w:num w:numId="9">
    <w:abstractNumId w:val="23"/>
  </w:num>
  <w:num w:numId="10">
    <w:abstractNumId w:val="16"/>
  </w:num>
  <w:num w:numId="11">
    <w:abstractNumId w:val="34"/>
  </w:num>
  <w:num w:numId="12">
    <w:abstractNumId w:val="5"/>
  </w:num>
  <w:num w:numId="13">
    <w:abstractNumId w:val="4"/>
  </w:num>
  <w:num w:numId="14">
    <w:abstractNumId w:val="12"/>
  </w:num>
  <w:num w:numId="15">
    <w:abstractNumId w:val="24"/>
  </w:num>
  <w:num w:numId="16">
    <w:abstractNumId w:val="31"/>
  </w:num>
  <w:num w:numId="17">
    <w:abstractNumId w:val="21"/>
  </w:num>
  <w:num w:numId="18">
    <w:abstractNumId w:val="0"/>
  </w:num>
  <w:num w:numId="19">
    <w:abstractNumId w:val="32"/>
  </w:num>
  <w:num w:numId="20">
    <w:abstractNumId w:val="10"/>
  </w:num>
  <w:num w:numId="21">
    <w:abstractNumId w:val="18"/>
  </w:num>
  <w:num w:numId="22">
    <w:abstractNumId w:val="30"/>
  </w:num>
  <w:num w:numId="23">
    <w:abstractNumId w:val="35"/>
  </w:num>
  <w:num w:numId="24">
    <w:abstractNumId w:val="1"/>
  </w:num>
  <w:num w:numId="25">
    <w:abstractNumId w:val="25"/>
  </w:num>
  <w:num w:numId="26">
    <w:abstractNumId w:val="19"/>
  </w:num>
  <w:num w:numId="27">
    <w:abstractNumId w:val="37"/>
  </w:num>
  <w:num w:numId="28">
    <w:abstractNumId w:val="22"/>
  </w:num>
  <w:num w:numId="29">
    <w:abstractNumId w:val="1"/>
  </w:num>
  <w:num w:numId="30">
    <w:abstractNumId w:val="11"/>
  </w:num>
  <w:num w:numId="31">
    <w:abstractNumId w:val="6"/>
  </w:num>
  <w:num w:numId="32">
    <w:abstractNumId w:val="17"/>
  </w:num>
  <w:num w:numId="33">
    <w:abstractNumId w:val="28"/>
  </w:num>
  <w:num w:numId="34">
    <w:abstractNumId w:val="2"/>
  </w:num>
  <w:num w:numId="35">
    <w:abstractNumId w:val="27"/>
  </w:num>
  <w:num w:numId="36">
    <w:abstractNumId w:val="20"/>
  </w:num>
  <w:num w:numId="37">
    <w:abstractNumId w:val="9"/>
  </w:num>
  <w:num w:numId="38">
    <w:abstractNumId w:val="7"/>
  </w:num>
  <w:num w:numId="39">
    <w:abstractNumId w:val="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55D1E"/>
    <w:rsid w:val="00162F12"/>
    <w:rsid w:val="00171824"/>
    <w:rsid w:val="001809E2"/>
    <w:rsid w:val="0018138B"/>
    <w:rsid w:val="00194804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54D8A"/>
    <w:rsid w:val="0027544A"/>
    <w:rsid w:val="002871A4"/>
    <w:rsid w:val="002A45BB"/>
    <w:rsid w:val="002B0234"/>
    <w:rsid w:val="002B29F3"/>
    <w:rsid w:val="002C6E73"/>
    <w:rsid w:val="00307299"/>
    <w:rsid w:val="00310653"/>
    <w:rsid w:val="00321539"/>
    <w:rsid w:val="00331F7F"/>
    <w:rsid w:val="00334ED8"/>
    <w:rsid w:val="00343C9C"/>
    <w:rsid w:val="003451DF"/>
    <w:rsid w:val="00351DDD"/>
    <w:rsid w:val="003623D3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79B"/>
    <w:rsid w:val="00432A05"/>
    <w:rsid w:val="004336FA"/>
    <w:rsid w:val="00437076"/>
    <w:rsid w:val="004509E9"/>
    <w:rsid w:val="00451E16"/>
    <w:rsid w:val="00451E67"/>
    <w:rsid w:val="0045312E"/>
    <w:rsid w:val="004556C0"/>
    <w:rsid w:val="00455E7C"/>
    <w:rsid w:val="004647CC"/>
    <w:rsid w:val="00466108"/>
    <w:rsid w:val="004774CD"/>
    <w:rsid w:val="004918A0"/>
    <w:rsid w:val="0049629B"/>
    <w:rsid w:val="004A1C4E"/>
    <w:rsid w:val="004A4354"/>
    <w:rsid w:val="004A4BC6"/>
    <w:rsid w:val="004A5D03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8230F"/>
    <w:rsid w:val="0059050F"/>
    <w:rsid w:val="005A09A3"/>
    <w:rsid w:val="005A2CB5"/>
    <w:rsid w:val="005A38C0"/>
    <w:rsid w:val="005A772C"/>
    <w:rsid w:val="005B1AB6"/>
    <w:rsid w:val="005B2D98"/>
    <w:rsid w:val="005C0408"/>
    <w:rsid w:val="005D7C9E"/>
    <w:rsid w:val="005E2FF1"/>
    <w:rsid w:val="005E45DF"/>
    <w:rsid w:val="005E5D48"/>
    <w:rsid w:val="006226AF"/>
    <w:rsid w:val="00625B28"/>
    <w:rsid w:val="00631ED2"/>
    <w:rsid w:val="00637AB2"/>
    <w:rsid w:val="006467B3"/>
    <w:rsid w:val="006719C5"/>
    <w:rsid w:val="006A7CB5"/>
    <w:rsid w:val="006B6B9E"/>
    <w:rsid w:val="006B6FA7"/>
    <w:rsid w:val="006E6BBA"/>
    <w:rsid w:val="00711CEA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D4409"/>
    <w:rsid w:val="007F310C"/>
    <w:rsid w:val="007F6942"/>
    <w:rsid w:val="00801508"/>
    <w:rsid w:val="00824DC1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B74AF"/>
    <w:rsid w:val="008C34BC"/>
    <w:rsid w:val="008C43AB"/>
    <w:rsid w:val="008D2A80"/>
    <w:rsid w:val="008E329A"/>
    <w:rsid w:val="008E34BE"/>
    <w:rsid w:val="00900D3E"/>
    <w:rsid w:val="009038DE"/>
    <w:rsid w:val="0091437A"/>
    <w:rsid w:val="0092191F"/>
    <w:rsid w:val="0092377E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579A4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2E32"/>
    <w:rsid w:val="00BD395D"/>
    <w:rsid w:val="00BD5DEA"/>
    <w:rsid w:val="00BE5C2B"/>
    <w:rsid w:val="00BF275F"/>
    <w:rsid w:val="00BF698E"/>
    <w:rsid w:val="00C00481"/>
    <w:rsid w:val="00C0504C"/>
    <w:rsid w:val="00C334BE"/>
    <w:rsid w:val="00C64CED"/>
    <w:rsid w:val="00C66334"/>
    <w:rsid w:val="00C73AC8"/>
    <w:rsid w:val="00C84A6C"/>
    <w:rsid w:val="00C857E9"/>
    <w:rsid w:val="00C955BE"/>
    <w:rsid w:val="00CB21A9"/>
    <w:rsid w:val="00CB4055"/>
    <w:rsid w:val="00CD5003"/>
    <w:rsid w:val="00CD6EA8"/>
    <w:rsid w:val="00CF1A62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549C1"/>
    <w:rsid w:val="00D669AA"/>
    <w:rsid w:val="00D675CF"/>
    <w:rsid w:val="00D70414"/>
    <w:rsid w:val="00D75DD8"/>
    <w:rsid w:val="00D76661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56801"/>
    <w:rsid w:val="00E61F12"/>
    <w:rsid w:val="00E66C65"/>
    <w:rsid w:val="00E71A4D"/>
    <w:rsid w:val="00E762E2"/>
    <w:rsid w:val="00E771F2"/>
    <w:rsid w:val="00E840F1"/>
    <w:rsid w:val="00EA39E7"/>
    <w:rsid w:val="00EA4B96"/>
    <w:rsid w:val="00EB2BAC"/>
    <w:rsid w:val="00EC15B5"/>
    <w:rsid w:val="00EC5DF7"/>
    <w:rsid w:val="00EC6A7B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773DC"/>
    <w:rsid w:val="00F83B56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4636-162C-4284-9C8F-DB2EAF5D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125</cp:revision>
  <cp:lastPrinted>2025-06-02T09:20:00Z</cp:lastPrinted>
  <dcterms:created xsi:type="dcterms:W3CDTF">2021-03-23T13:15:00Z</dcterms:created>
  <dcterms:modified xsi:type="dcterms:W3CDTF">2025-06-02T09:21:00Z</dcterms:modified>
</cp:coreProperties>
</file>