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7757C144" w14:textId="07FB506B" w:rsidR="0025382E" w:rsidRDefault="00C84A6C" w:rsidP="002B29F3">
      <w:pPr>
        <w:jc w:val="center"/>
        <w:rPr>
          <w:b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C955BE">
        <w:rPr>
          <w:b/>
          <w:sz w:val="24"/>
          <w:szCs w:val="24"/>
          <w:u w:val="single"/>
          <w:lang w:eastAsia="uk-UA"/>
        </w:rPr>
        <w:t xml:space="preserve">відділу ведення Єдиного реєстру досудових розслідувань                         та інформаційно-аналітичної роботи </w:t>
      </w:r>
      <w:r w:rsidR="00102CC7"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</w:p>
    <w:p w14:paraId="3C65FB41" w14:textId="77777777" w:rsidR="002B29F3" w:rsidRDefault="002B29F3" w:rsidP="002B29F3">
      <w:pPr>
        <w:widowControl w:val="0"/>
        <w:jc w:val="center"/>
        <w:rPr>
          <w:bCs/>
          <w:sz w:val="24"/>
          <w:szCs w:val="24"/>
          <w:lang w:eastAsia="uk-UA"/>
        </w:rPr>
      </w:pPr>
      <w:r w:rsidRPr="008C34BC">
        <w:rPr>
          <w:bCs/>
          <w:sz w:val="24"/>
          <w:szCs w:val="24"/>
          <w:lang w:eastAsia="uk-UA"/>
        </w:rPr>
        <w:t xml:space="preserve">(на період відпустки для догляду за дитиною до досягнення нею </w:t>
      </w:r>
    </w:p>
    <w:p w14:paraId="4F48D6D6" w14:textId="239C4093" w:rsidR="002B29F3" w:rsidRPr="002B29F3" w:rsidRDefault="002B29F3" w:rsidP="002B29F3">
      <w:pPr>
        <w:widowControl w:val="0"/>
        <w:jc w:val="center"/>
        <w:rPr>
          <w:bCs/>
          <w:sz w:val="24"/>
          <w:szCs w:val="24"/>
          <w:lang w:eastAsia="uk-UA"/>
        </w:rPr>
      </w:pPr>
      <w:r w:rsidRPr="008C34BC">
        <w:rPr>
          <w:bCs/>
          <w:sz w:val="24"/>
          <w:szCs w:val="24"/>
          <w:lang w:eastAsia="uk-UA"/>
        </w:rPr>
        <w:t>трирічного віку основного працівник</w:t>
      </w:r>
      <w:r>
        <w:rPr>
          <w:bCs/>
          <w:sz w:val="24"/>
          <w:szCs w:val="24"/>
          <w:lang w:eastAsia="uk-UA"/>
        </w:rPr>
        <w:t>а</w:t>
      </w:r>
      <w:r w:rsidRPr="008C34BC">
        <w:rPr>
          <w:bCs/>
          <w:sz w:val="24"/>
          <w:szCs w:val="24"/>
          <w:lang w:eastAsia="uk-UA"/>
        </w:rPr>
        <w:t>)</w:t>
      </w:r>
      <w:r>
        <w:rPr>
          <w:b/>
          <w:sz w:val="24"/>
          <w:szCs w:val="24"/>
          <w:lang w:eastAsia="uk-UA"/>
        </w:rPr>
        <w:t xml:space="preserve">                                                                        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559"/>
        <w:gridCol w:w="993"/>
        <w:gridCol w:w="6945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2B29F3">
        <w:trPr>
          <w:trHeight w:val="268"/>
        </w:trPr>
        <w:tc>
          <w:tcPr>
            <w:tcW w:w="1985" w:type="dxa"/>
            <w:gridSpan w:val="2"/>
          </w:tcPr>
          <w:p w14:paraId="136C52D5" w14:textId="77777777" w:rsidR="00B56C4B" w:rsidRPr="0025382E" w:rsidRDefault="00B56C4B" w:rsidP="00EB2BAC">
            <w:pPr>
              <w:jc w:val="left"/>
              <w:rPr>
                <w:sz w:val="24"/>
                <w:highlight w:val="yellow"/>
              </w:rPr>
            </w:pPr>
            <w:r w:rsidRPr="00631ED2">
              <w:rPr>
                <w:sz w:val="24"/>
              </w:rPr>
              <w:t xml:space="preserve">Посадові обов’язки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EE6A" w14:textId="2EB71C69" w:rsidR="00C955BE" w:rsidRPr="00C955BE" w:rsidRDefault="00C955BE" w:rsidP="00C955B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C955BE">
              <w:rPr>
                <w:color w:val="auto"/>
                <w:lang w:val="uk-UA"/>
              </w:rPr>
              <w:t>абезпечення належного ведення Єдиного реєстру досудових розслідувань та інформаційно-аналітичної системи «Облік                          та статистика органів прокуратури», щодо своєчасності, повноти             та достовірності відображення у звітності відомостей про кримінальні правопорушення та результати їх розслідування, результатів прокурорсько-слідчої діяльності. Вжиття заходів щодо оперативного усунення порушень обліково-реєстраційної дисципліни;</w:t>
            </w:r>
          </w:p>
          <w:p w14:paraId="5067435B" w14:textId="6D0D1223" w:rsidR="00C955BE" w:rsidRPr="00C955BE" w:rsidRDefault="00C955BE" w:rsidP="00C955B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</w:t>
            </w:r>
            <w:r w:rsidRPr="00C955BE">
              <w:rPr>
                <w:color w:val="auto"/>
                <w:lang w:val="uk-UA"/>
              </w:rPr>
              <w:t>ров</w:t>
            </w:r>
            <w:r>
              <w:rPr>
                <w:color w:val="auto"/>
                <w:lang w:val="uk-UA"/>
              </w:rPr>
              <w:t>е</w:t>
            </w:r>
            <w:r w:rsidRPr="00C955BE">
              <w:rPr>
                <w:color w:val="auto"/>
                <w:lang w:val="uk-UA"/>
              </w:rPr>
              <w:t xml:space="preserve">дення комплексного аналізу статистичних даних з метою виявлення тенденцій щодо стану та структури вчинених кримінальних правопорушень з метою підвищення якості здійснення функцій прокуратури, координації діяльності правоохоронних органів у сфері протидії злочинності; </w:t>
            </w:r>
          </w:p>
          <w:p w14:paraId="248FD4CC" w14:textId="284D89FA" w:rsidR="00C955BE" w:rsidRPr="00C955BE" w:rsidRDefault="00C955BE" w:rsidP="00C955B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</w:t>
            </w:r>
            <w:r w:rsidRPr="00C955BE">
              <w:rPr>
                <w:color w:val="auto"/>
                <w:lang w:val="uk-UA"/>
              </w:rPr>
              <w:t xml:space="preserve">роведення аналізу стану протидії злочинності та прокурорської діяльності. Надання пропозицій для усунення недоліків </w:t>
            </w:r>
            <w:r w:rsidRPr="00C955BE">
              <w:rPr>
                <w:color w:val="auto"/>
                <w:lang w:val="ru-RU"/>
              </w:rPr>
              <w:t xml:space="preserve">                                   </w:t>
            </w:r>
            <w:r w:rsidRPr="00C955BE">
              <w:rPr>
                <w:color w:val="auto"/>
                <w:lang w:val="uk-UA"/>
              </w:rPr>
              <w:t>та удосконалення роботи на вказаному напрямку.</w:t>
            </w:r>
            <w:r>
              <w:rPr>
                <w:color w:val="auto"/>
                <w:lang w:val="uk-UA"/>
              </w:rPr>
              <w:t xml:space="preserve"> </w:t>
            </w:r>
            <w:r w:rsidRPr="00C955BE">
              <w:rPr>
                <w:color w:val="auto"/>
                <w:lang w:val="uk-UA"/>
              </w:rPr>
              <w:t>Забезпечення керівників структурних підрозділів  обласної прокуратури та окружних прокуратур інформаційно-аналітичними матеріалами про стан протидії злочинності та прокур</w:t>
            </w:r>
            <w:r>
              <w:rPr>
                <w:color w:val="auto"/>
                <w:lang w:val="uk-UA"/>
              </w:rPr>
              <w:t>ор</w:t>
            </w:r>
            <w:r w:rsidRPr="00C955BE">
              <w:rPr>
                <w:color w:val="auto"/>
                <w:lang w:val="uk-UA"/>
              </w:rPr>
              <w:t>ської діяльності та надсилання</w:t>
            </w:r>
            <w:r w:rsidR="002B29F3">
              <w:rPr>
                <w:color w:val="auto"/>
                <w:lang w:val="uk-UA"/>
              </w:rPr>
              <w:t xml:space="preserve"> </w:t>
            </w:r>
            <w:r w:rsidRPr="00C955BE">
              <w:rPr>
                <w:color w:val="auto"/>
                <w:lang w:val="uk-UA"/>
              </w:rPr>
              <w:t>до правоохоронних органів звітності про злочинність та осіб,</w:t>
            </w:r>
            <w:r w:rsidR="002B29F3">
              <w:rPr>
                <w:color w:val="auto"/>
                <w:lang w:val="uk-UA"/>
              </w:rPr>
              <w:t xml:space="preserve"> </w:t>
            </w:r>
            <w:r w:rsidRPr="00C955BE">
              <w:rPr>
                <w:color w:val="auto"/>
                <w:lang w:val="uk-UA"/>
              </w:rPr>
              <w:t>які їх учинили;</w:t>
            </w:r>
          </w:p>
          <w:p w14:paraId="3CE36EAD" w14:textId="0A8643F7" w:rsidR="00C955BE" w:rsidRPr="00C955BE" w:rsidRDefault="00C955BE" w:rsidP="00C955B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C955BE">
              <w:rPr>
                <w:color w:val="auto"/>
                <w:lang w:val="uk-UA"/>
              </w:rPr>
              <w:t>абезпечення збереження конфіденційної інформації, інформації про громадян, що стала відома під час виконання обов’язків, а також іншої інформації, яка згідно з законодавством не підлягає розголошенню;</w:t>
            </w:r>
          </w:p>
          <w:p w14:paraId="7C19B125" w14:textId="4F78FE48" w:rsidR="00C955BE" w:rsidRPr="00C955BE" w:rsidRDefault="00C955BE" w:rsidP="00C955B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C955BE">
              <w:rPr>
                <w:color w:val="auto"/>
                <w:lang w:val="uk-UA"/>
              </w:rPr>
              <w:t xml:space="preserve">а дорученням начальника відділу підготовка матеріалів </w:t>
            </w:r>
            <w:r w:rsidRPr="00C955BE">
              <w:rPr>
                <w:color w:val="auto"/>
                <w:lang w:val="ru-RU"/>
              </w:rPr>
              <w:t xml:space="preserve">                      </w:t>
            </w:r>
            <w:r w:rsidRPr="00C955BE">
              <w:rPr>
                <w:color w:val="auto"/>
                <w:lang w:val="uk-UA"/>
              </w:rPr>
              <w:t>на розгляд нарад, внесення пропозицій до планів роботи</w:t>
            </w:r>
            <w:r w:rsidRPr="00C955BE">
              <w:rPr>
                <w:color w:val="auto"/>
                <w:lang w:val="ru-RU"/>
              </w:rPr>
              <w:t>;</w:t>
            </w:r>
          </w:p>
          <w:p w14:paraId="00ADD188" w14:textId="2CD95B4E" w:rsidR="00C955BE" w:rsidRPr="00C955BE" w:rsidRDefault="00C955BE" w:rsidP="00C955B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 w:rsidRPr="00C955BE">
              <w:rPr>
                <w:color w:val="auto"/>
                <w:lang w:val="uk-UA"/>
              </w:rPr>
              <w:t>Надання прокурорам прокуратур нижчого рівня фахову практичну і методичну допомогу, вивчення, вн</w:t>
            </w:r>
            <w:r>
              <w:rPr>
                <w:color w:val="auto"/>
                <w:lang w:val="uk-UA"/>
              </w:rPr>
              <w:t>е</w:t>
            </w:r>
            <w:r w:rsidRPr="00C955BE">
              <w:rPr>
                <w:color w:val="auto"/>
                <w:lang w:val="uk-UA"/>
              </w:rPr>
              <w:t>сення пропозиції</w:t>
            </w:r>
            <w:r w:rsidR="002B29F3">
              <w:rPr>
                <w:color w:val="auto"/>
                <w:lang w:val="uk-UA"/>
              </w:rPr>
              <w:t xml:space="preserve"> </w:t>
            </w:r>
            <w:r w:rsidRPr="00C955BE">
              <w:rPr>
                <w:color w:val="auto"/>
                <w:lang w:val="uk-UA"/>
              </w:rPr>
              <w:t>щодо поширення та впровадження позитивного досвіду роботи</w:t>
            </w:r>
            <w:r w:rsidRPr="00C955BE">
              <w:rPr>
                <w:color w:val="auto"/>
                <w:lang w:val="ru-RU"/>
              </w:rPr>
              <w:t>;</w:t>
            </w:r>
          </w:p>
          <w:p w14:paraId="274BEFE7" w14:textId="16AE4FFF" w:rsidR="00C955BE" w:rsidRPr="00C955BE" w:rsidRDefault="00C955BE" w:rsidP="00C955B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</w:t>
            </w:r>
            <w:r w:rsidRPr="00C955BE">
              <w:rPr>
                <w:color w:val="auto"/>
                <w:lang w:val="uk-UA"/>
              </w:rPr>
              <w:t xml:space="preserve">едення обліку проведеної роботи, за напрямами діяльності формування накопичувальних справ, у яких зосереджує, систематизує </w:t>
            </w:r>
            <w:r w:rsidRPr="00C955BE">
              <w:rPr>
                <w:color w:val="auto"/>
                <w:lang w:val="ru-RU"/>
              </w:rPr>
              <w:t xml:space="preserve">                  </w:t>
            </w:r>
            <w:r w:rsidRPr="00C955BE">
              <w:rPr>
                <w:color w:val="auto"/>
                <w:lang w:val="uk-UA"/>
              </w:rPr>
              <w:t>і опрацьовує необхідні матеріали</w:t>
            </w:r>
            <w:r w:rsidRPr="00C955BE">
              <w:rPr>
                <w:color w:val="auto"/>
                <w:lang w:val="ru-RU"/>
              </w:rPr>
              <w:t>;</w:t>
            </w:r>
          </w:p>
          <w:p w14:paraId="273F2BD1" w14:textId="45328FE1" w:rsidR="00C955BE" w:rsidRPr="00C955BE" w:rsidRDefault="00C955BE" w:rsidP="00C955B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</w:t>
            </w:r>
            <w:r w:rsidRPr="00C955BE">
              <w:rPr>
                <w:color w:val="auto"/>
                <w:lang w:val="uk-UA"/>
              </w:rPr>
              <w:t>иконання завдань та доручень начальника відділу</w:t>
            </w:r>
            <w:r w:rsidRPr="00C955BE">
              <w:rPr>
                <w:color w:val="auto"/>
                <w:lang w:val="ru-RU"/>
              </w:rPr>
              <w:t>;</w:t>
            </w:r>
          </w:p>
          <w:p w14:paraId="3D80A710" w14:textId="27A24F71" w:rsidR="00C955BE" w:rsidRPr="00C955BE" w:rsidRDefault="00C955BE" w:rsidP="00C955B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</w:t>
            </w:r>
            <w:r w:rsidRPr="00C955BE">
              <w:rPr>
                <w:color w:val="auto"/>
                <w:lang w:val="uk-UA"/>
              </w:rPr>
              <w:t xml:space="preserve">роведення </w:t>
            </w:r>
            <w:proofErr w:type="spellStart"/>
            <w:r w:rsidRPr="00C955BE">
              <w:rPr>
                <w:color w:val="auto"/>
                <w:lang w:val="uk-UA"/>
              </w:rPr>
              <w:t>взаємозвірки</w:t>
            </w:r>
            <w:proofErr w:type="spellEnd"/>
            <w:r w:rsidRPr="00C955BE">
              <w:rPr>
                <w:color w:val="auto"/>
                <w:lang w:val="uk-UA"/>
              </w:rPr>
              <w:t xml:space="preserve"> правильності відображення окремих показників у різних формах звітності (Форма  № 1-СЛ ГУНП, БЕБ, СБУ, Перший СВ №1 ТУ ДБР розташований в м. Полтаві  та форми</w:t>
            </w:r>
            <w:r w:rsidR="002B29F3">
              <w:rPr>
                <w:color w:val="auto"/>
                <w:lang w:val="uk-UA"/>
              </w:rPr>
              <w:t xml:space="preserve"> </w:t>
            </w:r>
            <w:r w:rsidRPr="00C955BE">
              <w:rPr>
                <w:color w:val="auto"/>
                <w:lang w:val="uk-UA"/>
              </w:rPr>
              <w:t>№ П), у тому числі з використанням даних ЄРДР  та судової статистики, узагальнення їх результатів;</w:t>
            </w:r>
          </w:p>
          <w:p w14:paraId="4CFA0F3D" w14:textId="017C1253" w:rsidR="002B29F3" w:rsidRPr="002B29F3" w:rsidRDefault="00C955BE" w:rsidP="002B29F3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</w:t>
            </w:r>
            <w:r w:rsidRPr="00C955BE">
              <w:rPr>
                <w:color w:val="auto"/>
                <w:lang w:val="uk-UA"/>
              </w:rPr>
              <w:t>ідготовка проектів наказів та інших організаційно-розпорядчих документів, службових листів із питань, що належать до компетенції відділу.</w:t>
            </w:r>
          </w:p>
        </w:tc>
      </w:tr>
      <w:tr w:rsidR="00B56C4B" w:rsidRPr="00FB1754" w14:paraId="7E115C87" w14:textId="77777777" w:rsidTr="002B29F3">
        <w:trPr>
          <w:trHeight w:val="58"/>
        </w:trPr>
        <w:tc>
          <w:tcPr>
            <w:tcW w:w="1985" w:type="dxa"/>
            <w:gridSpan w:val="2"/>
          </w:tcPr>
          <w:p w14:paraId="75B0ACF4" w14:textId="77777777" w:rsidR="00B56C4B" w:rsidRPr="00FB1754" w:rsidRDefault="00B56C4B" w:rsidP="00EB2BAC">
            <w:pPr>
              <w:jc w:val="left"/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938" w:type="dxa"/>
            <w:gridSpan w:val="2"/>
          </w:tcPr>
          <w:p w14:paraId="15E7F0E6" w14:textId="31253D30" w:rsidR="002B29F3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від 29.12.2023 № 1409 «Питання оплати праці державних службовців на основі класифікації посад</w:t>
            </w:r>
            <w:r w:rsidR="002B29F3">
              <w:rPr>
                <w:sz w:val="24"/>
              </w:rPr>
              <w:t xml:space="preserve"> </w:t>
            </w:r>
            <w:r>
              <w:rPr>
                <w:sz w:val="24"/>
              </w:rPr>
              <w:t>у 2024 році».</w:t>
            </w:r>
          </w:p>
        </w:tc>
      </w:tr>
      <w:tr w:rsidR="00B56C4B" w:rsidRPr="00FB1754" w14:paraId="053646A2" w14:textId="77777777" w:rsidTr="002B29F3">
        <w:tc>
          <w:tcPr>
            <w:tcW w:w="1985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 xml:space="preserve">Інформація про </w:t>
            </w:r>
            <w:r w:rsidRPr="00952FD4">
              <w:rPr>
                <w:rFonts w:cs="Times New Roman"/>
                <w:sz w:val="24"/>
                <w:szCs w:val="24"/>
              </w:rPr>
              <w:lastRenderedPageBreak/>
              <w:t>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938" w:type="dxa"/>
            <w:gridSpan w:val="2"/>
          </w:tcPr>
          <w:p w14:paraId="4CC093FE" w14:textId="0E3BC71B" w:rsidR="002B29F3" w:rsidRPr="002B29F3" w:rsidRDefault="002B29F3" w:rsidP="002B29F3">
            <w:pPr>
              <w:ind w:firstLine="318"/>
              <w:rPr>
                <w:bCs/>
                <w:sz w:val="24"/>
                <w:szCs w:val="24"/>
                <w:lang w:val="ru-RU" w:eastAsia="uk-UA"/>
              </w:rPr>
            </w:pPr>
            <w:proofErr w:type="spellStart"/>
            <w:r w:rsidRPr="002871A4">
              <w:rPr>
                <w:rFonts w:cs="Times New Roman"/>
                <w:sz w:val="24"/>
                <w:szCs w:val="24"/>
              </w:rPr>
              <w:lastRenderedPageBreak/>
              <w:t>Строково</w:t>
            </w:r>
            <w:proofErr w:type="spellEnd"/>
            <w:r w:rsidRPr="002871A4">
              <w:rPr>
                <w:rFonts w:cs="Times New Roman"/>
                <w:sz w:val="24"/>
                <w:szCs w:val="24"/>
              </w:rPr>
              <w:t>, на час відпустки для догляду за дитиною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871A4">
              <w:rPr>
                <w:rFonts w:cs="Times New Roman"/>
                <w:sz w:val="24"/>
                <w:szCs w:val="24"/>
              </w:rPr>
              <w:t xml:space="preserve">до досягнення нею </w:t>
            </w:r>
            <w:r w:rsidRPr="002871A4">
              <w:rPr>
                <w:rFonts w:cs="Times New Roman"/>
                <w:sz w:val="24"/>
                <w:szCs w:val="24"/>
              </w:rPr>
              <w:lastRenderedPageBreak/>
              <w:t>трирічного віку основного працівника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49065379" w14:textId="4B6DC237" w:rsidR="00B56C4B" w:rsidRPr="00432A05" w:rsidRDefault="00B56C4B" w:rsidP="002B29F3">
            <w:pPr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26520471" w:rsidR="002B29F3" w:rsidRPr="00C955BE" w:rsidRDefault="00B56C4B" w:rsidP="002B29F3">
            <w:pPr>
              <w:ind w:firstLine="315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2B29F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55E1A3A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F4BA33D" w14:textId="1827646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36601A1D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від прийняття реєстраційного номера облікової картки платника податків 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та повідомили про це відповідний контролюючий орган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5ECC2E79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проходження перевірки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</w:rPr>
              <w:t>та на оприлюднення відомостей стосовно неї відповідно до зазначеного Закону або завірена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06D43E01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</w:t>
            </w:r>
            <w:r w:rsidR="002B29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виконання функцій держави або місцевого самоврядування, </w:t>
            </w:r>
            <w:r w:rsidR="002B29F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 минулий рік;</w:t>
            </w:r>
          </w:p>
          <w:p w14:paraId="70D22E2A" w14:textId="4D297CCC" w:rsidR="002B29F3" w:rsidRPr="002B29F3" w:rsidRDefault="00B56C4B" w:rsidP="002B29F3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33812E48" w:rsidR="002B29F3" w:rsidRPr="002B29F3" w:rsidRDefault="00B56C4B" w:rsidP="002B29F3">
            <w:pPr>
              <w:ind w:firstLine="421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4A1C4E">
              <w:rPr>
                <w:rFonts w:cs="Times New Roman"/>
                <w:b/>
                <w:bCs/>
                <w:sz w:val="24"/>
                <w:lang w:val="ru-RU"/>
              </w:rPr>
              <w:t>16</w:t>
            </w:r>
            <w:r w:rsidR="00C955BE">
              <w:rPr>
                <w:rFonts w:cs="Times New Roman"/>
                <w:b/>
                <w:bCs/>
                <w:sz w:val="24"/>
              </w:rPr>
              <w:t>.</w:t>
            </w:r>
            <w:r w:rsidR="004A1C4E">
              <w:rPr>
                <w:rFonts w:cs="Times New Roman"/>
                <w:b/>
                <w:bCs/>
                <w:sz w:val="24"/>
                <w:lang w:val="ru-RU"/>
              </w:rPr>
              <w:t>45</w:t>
            </w:r>
            <w:r w:rsidRPr="00C64CED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4A1C4E">
              <w:rPr>
                <w:rFonts w:cs="Times New Roman"/>
                <w:b/>
                <w:bCs/>
                <w:sz w:val="24"/>
                <w:lang w:val="ru-RU"/>
              </w:rPr>
              <w:t>21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</w:t>
            </w:r>
            <w:r w:rsidR="0059050F" w:rsidRPr="00C64CED">
              <w:rPr>
                <w:rFonts w:cs="Times New Roman"/>
                <w:b/>
                <w:bCs/>
                <w:sz w:val="24"/>
              </w:rPr>
              <w:t>червня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2024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="00C955BE" w:rsidRPr="00C955BE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2B29F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24EE8720" w14:textId="16DD05A2" w:rsidR="00E05E29" w:rsidRPr="00EB2BAC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284CF44A" w:rsidR="00B56C4B" w:rsidRDefault="00B56C4B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10DCE695" w14:textId="382DC928" w:rsidR="00E05E29" w:rsidRPr="00FB1754" w:rsidRDefault="00B56C4B" w:rsidP="00EB2BAC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B56C4B" w:rsidRPr="00FB1754" w14:paraId="433FB299" w14:textId="77777777" w:rsidTr="002B29F3">
        <w:tc>
          <w:tcPr>
            <w:tcW w:w="426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945" w:type="dxa"/>
          </w:tcPr>
          <w:p w14:paraId="32500795" w14:textId="26BC4720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2B29F3">
        <w:tc>
          <w:tcPr>
            <w:tcW w:w="426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945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2B29F3">
        <w:trPr>
          <w:trHeight w:val="270"/>
        </w:trPr>
        <w:tc>
          <w:tcPr>
            <w:tcW w:w="426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5C82BE5C" w:rsidR="007D440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945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2B29F3">
        <w:trPr>
          <w:trHeight w:val="198"/>
        </w:trPr>
        <w:tc>
          <w:tcPr>
            <w:tcW w:w="426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945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C955BE" w:rsidRPr="00FB1754" w14:paraId="2A660972" w14:textId="77777777" w:rsidTr="002B29F3">
        <w:trPr>
          <w:trHeight w:val="144"/>
        </w:trPr>
        <w:tc>
          <w:tcPr>
            <w:tcW w:w="426" w:type="dxa"/>
          </w:tcPr>
          <w:p w14:paraId="1BB21B10" w14:textId="77777777" w:rsidR="00C955BE" w:rsidRPr="005C0408" w:rsidRDefault="00C955BE" w:rsidP="00C955BE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52" w:type="dxa"/>
            <w:gridSpan w:val="2"/>
          </w:tcPr>
          <w:p w14:paraId="1AC4FE65" w14:textId="1B810A07" w:rsidR="00C955BE" w:rsidRPr="001302A8" w:rsidRDefault="00C955BE" w:rsidP="00C955BE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9F75DE">
              <w:rPr>
                <w:rFonts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6945" w:type="dxa"/>
          </w:tcPr>
          <w:p w14:paraId="50D3F6B9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14:paraId="6EACF730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14:paraId="7C93E06C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14:paraId="412B04DA" w14:textId="50159654" w:rsidR="00C955BE" w:rsidRPr="005A38C0" w:rsidRDefault="00C955BE" w:rsidP="00C955BE">
            <w:pPr>
              <w:widowControl w:val="0"/>
              <w:tabs>
                <w:tab w:val="left" w:pos="360"/>
                <w:tab w:val="left" w:pos="457"/>
              </w:tabs>
              <w:rPr>
                <w:rFonts w:cs="Times New Roman"/>
                <w:sz w:val="24"/>
                <w:szCs w:val="24"/>
              </w:rPr>
            </w:pPr>
            <w:r w:rsidRPr="00331F7F">
              <w:rPr>
                <w:rFonts w:cs="Times New Roman"/>
                <w:sz w:val="24"/>
                <w:szCs w:val="24"/>
              </w:rPr>
              <w:t>- уміння управляти результатом і бачити прогрес.</w:t>
            </w:r>
          </w:p>
        </w:tc>
      </w:tr>
      <w:tr w:rsidR="00C955BE" w:rsidRPr="00FB1754" w14:paraId="7813303F" w14:textId="77777777" w:rsidTr="002B29F3">
        <w:trPr>
          <w:trHeight w:val="333"/>
        </w:trPr>
        <w:tc>
          <w:tcPr>
            <w:tcW w:w="426" w:type="dxa"/>
          </w:tcPr>
          <w:p w14:paraId="2785239F" w14:textId="77777777" w:rsidR="00C955BE" w:rsidRPr="005C0408" w:rsidRDefault="00C955BE" w:rsidP="00C955BE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52" w:type="dxa"/>
            <w:gridSpan w:val="2"/>
          </w:tcPr>
          <w:p w14:paraId="39B44FFF" w14:textId="7788C99F" w:rsidR="00C955BE" w:rsidRPr="001302A8" w:rsidRDefault="00C955BE" w:rsidP="00C955BE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780709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945" w:type="dxa"/>
          </w:tcPr>
          <w:p w14:paraId="39BE2F5C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розуміння ваги свого внеску у загальний результат</w:t>
            </w:r>
            <w:r>
              <w:rPr>
                <w:rFonts w:cs="Times New Roman"/>
                <w:sz w:val="24"/>
                <w:szCs w:val="24"/>
              </w:rPr>
              <w:t xml:space="preserve"> відділу</w:t>
            </w:r>
            <w:r w:rsidRPr="00294997">
              <w:rPr>
                <w:rFonts w:cs="Times New Roman"/>
                <w:sz w:val="24"/>
                <w:szCs w:val="24"/>
              </w:rPr>
              <w:t>;</w:t>
            </w:r>
          </w:p>
          <w:p w14:paraId="502BC253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орієнтація на командний результат;</w:t>
            </w:r>
          </w:p>
          <w:p w14:paraId="39CAC531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028D0C08" w14:textId="32FBB6E1" w:rsidR="00C955BE" w:rsidRPr="005A38C0" w:rsidRDefault="00C955BE" w:rsidP="00C955BE">
            <w:pPr>
              <w:widowControl w:val="0"/>
              <w:tabs>
                <w:tab w:val="left" w:pos="0"/>
                <w:tab w:val="left" w:pos="47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C955BE" w:rsidRPr="00FB1754" w14:paraId="40767C09" w14:textId="77777777" w:rsidTr="002B29F3">
        <w:trPr>
          <w:trHeight w:val="1907"/>
        </w:trPr>
        <w:tc>
          <w:tcPr>
            <w:tcW w:w="426" w:type="dxa"/>
          </w:tcPr>
          <w:p w14:paraId="132EDA93" w14:textId="77777777" w:rsidR="00C955BE" w:rsidRPr="005C0408" w:rsidRDefault="00C955BE" w:rsidP="00C95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0784035C" w14:textId="076082CF" w:rsidR="00C955BE" w:rsidRPr="001302A8" w:rsidRDefault="00C955BE" w:rsidP="00C955BE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6945" w:type="dxa"/>
          </w:tcPr>
          <w:p w14:paraId="010A1DA9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7C208E85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3B1A0E7" w14:textId="08087204" w:rsidR="00C955BE" w:rsidRPr="00BC5ED9" w:rsidRDefault="00C955BE" w:rsidP="00C955BE">
            <w:pPr>
              <w:widowControl w:val="0"/>
              <w:tabs>
                <w:tab w:val="left" w:pos="-108"/>
                <w:tab w:val="left" w:pos="447"/>
              </w:tabs>
              <w:ind w:right="33"/>
              <w:rPr>
                <w:rFonts w:eastAsia="Times New Roman"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2B29F3">
        <w:trPr>
          <w:trHeight w:val="120"/>
        </w:trPr>
        <w:tc>
          <w:tcPr>
            <w:tcW w:w="426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945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2B29F3">
        <w:trPr>
          <w:trHeight w:val="1440"/>
        </w:trPr>
        <w:tc>
          <w:tcPr>
            <w:tcW w:w="426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945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2B29F3">
        <w:trPr>
          <w:trHeight w:val="132"/>
        </w:trPr>
        <w:tc>
          <w:tcPr>
            <w:tcW w:w="426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945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0516FB49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2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3CE4701E" w14:textId="43F5BE69" w:rsidR="00BC5ED9" w:rsidRPr="005A38C0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</w:t>
            </w:r>
            <w:r w:rsidR="004E698E" w:rsidRPr="00BC5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74B6BF" w14:textId="24C1E114" w:rsidR="001302A8" w:rsidRPr="005A38C0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365;</w:t>
            </w:r>
          </w:p>
          <w:p w14:paraId="17332EC1" w14:textId="77777777" w:rsidR="00455E7C" w:rsidRPr="005A38C0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Кримінального кодексу України;</w:t>
            </w:r>
          </w:p>
          <w:p w14:paraId="0F6A6443" w14:textId="7CE5CE95" w:rsidR="001302A8" w:rsidRPr="00455E7C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Кримінального процесуального кодексу України</w:t>
            </w:r>
            <w:r w:rsidRPr="005A38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2B29F3">
        <w:trPr>
          <w:trHeight w:val="363"/>
        </w:trPr>
        <w:tc>
          <w:tcPr>
            <w:tcW w:w="426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945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2B29F3">
      <w:headerReference w:type="default" r:id="rId8"/>
      <w:pgSz w:w="11906" w:h="16838" w:code="9"/>
      <w:pgMar w:top="1021" w:right="567" w:bottom="1021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8D40F" w14:textId="77777777" w:rsidR="004556C0" w:rsidRDefault="004556C0">
      <w:r>
        <w:separator/>
      </w:r>
    </w:p>
  </w:endnote>
  <w:endnote w:type="continuationSeparator" w:id="0">
    <w:p w14:paraId="2B2D1972" w14:textId="77777777" w:rsidR="004556C0" w:rsidRDefault="0045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44F63" w14:textId="77777777" w:rsidR="004556C0" w:rsidRDefault="004556C0">
      <w:r>
        <w:separator/>
      </w:r>
    </w:p>
  </w:footnote>
  <w:footnote w:type="continuationSeparator" w:id="0">
    <w:p w14:paraId="769EF9B1" w14:textId="77777777" w:rsidR="004556C0" w:rsidRDefault="0045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EEA"/>
    <w:multiLevelType w:val="hybridMultilevel"/>
    <w:tmpl w:val="1DFCA474"/>
    <w:lvl w:ilvl="0" w:tplc="C39A773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409C8"/>
    <w:multiLevelType w:val="hybridMultilevel"/>
    <w:tmpl w:val="CDB2A8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CE5361"/>
    <w:multiLevelType w:val="hybridMultilevel"/>
    <w:tmpl w:val="E0C0BC8A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B6F5E"/>
    <w:multiLevelType w:val="hybridMultilevel"/>
    <w:tmpl w:val="96908692"/>
    <w:lvl w:ilvl="0" w:tplc="1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3ADC5A86"/>
    <w:multiLevelType w:val="hybridMultilevel"/>
    <w:tmpl w:val="2DDE1112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5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3496DFE"/>
    <w:multiLevelType w:val="hybridMultilevel"/>
    <w:tmpl w:val="DD92EEF4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588B0BCA"/>
    <w:multiLevelType w:val="hybridMultilevel"/>
    <w:tmpl w:val="E5F21A30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4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7"/>
  </w:num>
  <w:num w:numId="4">
    <w:abstractNumId w:val="32"/>
  </w:num>
  <w:num w:numId="5">
    <w:abstractNumId w:val="13"/>
  </w:num>
  <w:num w:numId="6">
    <w:abstractNumId w:val="14"/>
  </w:num>
  <w:num w:numId="7">
    <w:abstractNumId w:val="25"/>
  </w:num>
  <w:num w:numId="8">
    <w:abstractNumId w:val="35"/>
  </w:num>
  <w:num w:numId="9">
    <w:abstractNumId w:val="22"/>
  </w:num>
  <w:num w:numId="10">
    <w:abstractNumId w:val="15"/>
  </w:num>
  <w:num w:numId="11">
    <w:abstractNumId w:val="33"/>
  </w:num>
  <w:num w:numId="12">
    <w:abstractNumId w:val="4"/>
  </w:num>
  <w:num w:numId="13">
    <w:abstractNumId w:val="3"/>
  </w:num>
  <w:num w:numId="14">
    <w:abstractNumId w:val="11"/>
  </w:num>
  <w:num w:numId="15">
    <w:abstractNumId w:val="23"/>
  </w:num>
  <w:num w:numId="16">
    <w:abstractNumId w:val="30"/>
  </w:num>
  <w:num w:numId="17">
    <w:abstractNumId w:val="20"/>
  </w:num>
  <w:num w:numId="18">
    <w:abstractNumId w:val="0"/>
  </w:num>
  <w:num w:numId="19">
    <w:abstractNumId w:val="31"/>
  </w:num>
  <w:num w:numId="20">
    <w:abstractNumId w:val="9"/>
  </w:num>
  <w:num w:numId="21">
    <w:abstractNumId w:val="17"/>
  </w:num>
  <w:num w:numId="22">
    <w:abstractNumId w:val="29"/>
  </w:num>
  <w:num w:numId="23">
    <w:abstractNumId w:val="34"/>
  </w:num>
  <w:num w:numId="24">
    <w:abstractNumId w:val="1"/>
  </w:num>
  <w:num w:numId="25">
    <w:abstractNumId w:val="24"/>
  </w:num>
  <w:num w:numId="26">
    <w:abstractNumId w:val="18"/>
  </w:num>
  <w:num w:numId="27">
    <w:abstractNumId w:val="36"/>
  </w:num>
  <w:num w:numId="28">
    <w:abstractNumId w:val="21"/>
  </w:num>
  <w:num w:numId="29">
    <w:abstractNumId w:val="1"/>
  </w:num>
  <w:num w:numId="30">
    <w:abstractNumId w:val="10"/>
  </w:num>
  <w:num w:numId="31">
    <w:abstractNumId w:val="5"/>
  </w:num>
  <w:num w:numId="32">
    <w:abstractNumId w:val="16"/>
  </w:num>
  <w:num w:numId="33">
    <w:abstractNumId w:val="27"/>
  </w:num>
  <w:num w:numId="34">
    <w:abstractNumId w:val="2"/>
  </w:num>
  <w:num w:numId="35">
    <w:abstractNumId w:val="26"/>
  </w:num>
  <w:num w:numId="36">
    <w:abstractNumId w:val="19"/>
  </w:num>
  <w:num w:numId="37">
    <w:abstractNumId w:val="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809E2"/>
    <w:rsid w:val="0018138B"/>
    <w:rsid w:val="00194804"/>
    <w:rsid w:val="001B4820"/>
    <w:rsid w:val="001D4E6D"/>
    <w:rsid w:val="001D6497"/>
    <w:rsid w:val="001D6D6D"/>
    <w:rsid w:val="001E1E0B"/>
    <w:rsid w:val="001E2FF5"/>
    <w:rsid w:val="001F026C"/>
    <w:rsid w:val="001F603F"/>
    <w:rsid w:val="001F7C65"/>
    <w:rsid w:val="00200B45"/>
    <w:rsid w:val="0020270E"/>
    <w:rsid w:val="0021268E"/>
    <w:rsid w:val="00225630"/>
    <w:rsid w:val="002320C7"/>
    <w:rsid w:val="002324B6"/>
    <w:rsid w:val="0023383E"/>
    <w:rsid w:val="00235015"/>
    <w:rsid w:val="0025382E"/>
    <w:rsid w:val="00254D8A"/>
    <w:rsid w:val="0027544A"/>
    <w:rsid w:val="002871A4"/>
    <w:rsid w:val="002A45BB"/>
    <w:rsid w:val="002B0234"/>
    <w:rsid w:val="002B29F3"/>
    <w:rsid w:val="002C6E73"/>
    <w:rsid w:val="00310653"/>
    <w:rsid w:val="00321539"/>
    <w:rsid w:val="00331F7F"/>
    <w:rsid w:val="00334ED8"/>
    <w:rsid w:val="00343C9C"/>
    <w:rsid w:val="003451DF"/>
    <w:rsid w:val="003623D3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509E9"/>
    <w:rsid w:val="00451E16"/>
    <w:rsid w:val="00451E67"/>
    <w:rsid w:val="0045312E"/>
    <w:rsid w:val="004556C0"/>
    <w:rsid w:val="00455E7C"/>
    <w:rsid w:val="004647CC"/>
    <w:rsid w:val="00466108"/>
    <w:rsid w:val="004774CD"/>
    <w:rsid w:val="004918A0"/>
    <w:rsid w:val="0049629B"/>
    <w:rsid w:val="004A1C4E"/>
    <w:rsid w:val="004A4354"/>
    <w:rsid w:val="004A4BC6"/>
    <w:rsid w:val="004A5D03"/>
    <w:rsid w:val="004B35BC"/>
    <w:rsid w:val="004B6D2F"/>
    <w:rsid w:val="004C19D5"/>
    <w:rsid w:val="004D1FAA"/>
    <w:rsid w:val="004D2991"/>
    <w:rsid w:val="004D41AF"/>
    <w:rsid w:val="004D4EA2"/>
    <w:rsid w:val="004D5BD8"/>
    <w:rsid w:val="004D7D5C"/>
    <w:rsid w:val="004E38A1"/>
    <w:rsid w:val="004E643E"/>
    <w:rsid w:val="004E698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9050F"/>
    <w:rsid w:val="005A2CB5"/>
    <w:rsid w:val="005A38C0"/>
    <w:rsid w:val="005A772C"/>
    <w:rsid w:val="005B1AB6"/>
    <w:rsid w:val="005B2D98"/>
    <w:rsid w:val="005C0408"/>
    <w:rsid w:val="005E2FF1"/>
    <w:rsid w:val="005E45DF"/>
    <w:rsid w:val="005E5D48"/>
    <w:rsid w:val="006226AF"/>
    <w:rsid w:val="00625B28"/>
    <w:rsid w:val="00631ED2"/>
    <w:rsid w:val="00637AB2"/>
    <w:rsid w:val="006467B3"/>
    <w:rsid w:val="006A7CB5"/>
    <w:rsid w:val="006B6B9E"/>
    <w:rsid w:val="006B6FA7"/>
    <w:rsid w:val="006E6BBA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D4409"/>
    <w:rsid w:val="007F310C"/>
    <w:rsid w:val="007F6942"/>
    <w:rsid w:val="00801508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0D3E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395D"/>
    <w:rsid w:val="00BD5DEA"/>
    <w:rsid w:val="00BE5C2B"/>
    <w:rsid w:val="00BF275F"/>
    <w:rsid w:val="00BF698E"/>
    <w:rsid w:val="00C00481"/>
    <w:rsid w:val="00C0504C"/>
    <w:rsid w:val="00C334BE"/>
    <w:rsid w:val="00C64CED"/>
    <w:rsid w:val="00C66334"/>
    <w:rsid w:val="00C73AC8"/>
    <w:rsid w:val="00C84A6C"/>
    <w:rsid w:val="00C857E9"/>
    <w:rsid w:val="00C955BE"/>
    <w:rsid w:val="00CB21A9"/>
    <w:rsid w:val="00CB4055"/>
    <w:rsid w:val="00CD5003"/>
    <w:rsid w:val="00CD6EA8"/>
    <w:rsid w:val="00CF1AFA"/>
    <w:rsid w:val="00CF2192"/>
    <w:rsid w:val="00D00253"/>
    <w:rsid w:val="00D02329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56801"/>
    <w:rsid w:val="00E61F12"/>
    <w:rsid w:val="00E66C65"/>
    <w:rsid w:val="00E71A4D"/>
    <w:rsid w:val="00E762E2"/>
    <w:rsid w:val="00E771F2"/>
    <w:rsid w:val="00EA39E7"/>
    <w:rsid w:val="00EA4B96"/>
    <w:rsid w:val="00EB2BAC"/>
    <w:rsid w:val="00EC15B5"/>
    <w:rsid w:val="00EC5DF7"/>
    <w:rsid w:val="00EC6A7B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93807"/>
    <w:rsid w:val="00F9555C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  <w:style w:type="character" w:styleId="af">
    <w:name w:val="Emphasis"/>
    <w:basedOn w:val="a0"/>
    <w:qFormat/>
    <w:rsid w:val="00253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032B-93CC-4A3A-9BF0-BDBC5845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108</cp:revision>
  <cp:lastPrinted>2024-06-17T07:37:00Z</cp:lastPrinted>
  <dcterms:created xsi:type="dcterms:W3CDTF">2021-03-23T13:15:00Z</dcterms:created>
  <dcterms:modified xsi:type="dcterms:W3CDTF">2024-06-17T07:40:00Z</dcterms:modified>
</cp:coreProperties>
</file>