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93C3A" w14:textId="77777777" w:rsidR="00432A05" w:rsidRDefault="00432A05" w:rsidP="002B29F3">
      <w:pPr>
        <w:shd w:val="clear" w:color="auto" w:fill="FFFFFF"/>
        <w:ind w:left="460" w:right="460"/>
        <w:jc w:val="center"/>
        <w:rPr>
          <w:rFonts w:eastAsia="Times New Roman" w:cs="Times New Roman"/>
          <w:b/>
          <w:szCs w:val="28"/>
        </w:rPr>
      </w:pPr>
      <w:bookmarkStart w:id="0" w:name="_Hlk105663907"/>
      <w:r>
        <w:rPr>
          <w:rFonts w:eastAsia="Times New Roman" w:cs="Times New Roman"/>
          <w:b/>
          <w:szCs w:val="28"/>
        </w:rPr>
        <w:t>ОПИС ВАКАНТНОЇ ПОСАДИ</w:t>
      </w:r>
    </w:p>
    <w:p w14:paraId="13B86633" w14:textId="0DD69663" w:rsidR="00432A05" w:rsidRDefault="00432A05" w:rsidP="002B29F3">
      <w:pPr>
        <w:shd w:val="clear" w:color="auto" w:fill="FFFFFF"/>
        <w:ind w:left="460" w:right="460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державної служби категорії «</w:t>
      </w:r>
      <w:r w:rsidR="0042190C">
        <w:rPr>
          <w:rFonts w:eastAsia="Times New Roman" w:cs="Times New Roman"/>
          <w:b/>
          <w:sz w:val="24"/>
          <w:szCs w:val="24"/>
        </w:rPr>
        <w:t>Б</w:t>
      </w:r>
      <w:r>
        <w:rPr>
          <w:rFonts w:eastAsia="Times New Roman" w:cs="Times New Roman"/>
          <w:b/>
          <w:sz w:val="24"/>
          <w:szCs w:val="24"/>
        </w:rPr>
        <w:t xml:space="preserve">» </w:t>
      </w:r>
      <w:r w:rsidR="008C34BC">
        <w:rPr>
          <w:rFonts w:eastAsia="Times New Roman" w:cs="Times New Roman"/>
          <w:b/>
          <w:sz w:val="24"/>
          <w:szCs w:val="24"/>
        </w:rPr>
        <w:sym w:font="Symbol" w:char="F02D"/>
      </w:r>
    </w:p>
    <w:p w14:paraId="7757C144" w14:textId="4D8CF0C9" w:rsidR="0025382E" w:rsidRPr="00B8658C" w:rsidRDefault="0042190C" w:rsidP="00B8658C">
      <w:pPr>
        <w:jc w:val="center"/>
        <w:rPr>
          <w:b/>
          <w:bCs/>
          <w:sz w:val="24"/>
          <w:szCs w:val="24"/>
          <w:u w:val="single"/>
        </w:rPr>
      </w:pPr>
      <w:r w:rsidRPr="0042190C">
        <w:rPr>
          <w:rFonts w:eastAsia="Times New Roman" w:cs="Times New Roman"/>
          <w:b/>
          <w:bCs/>
          <w:sz w:val="24"/>
          <w:szCs w:val="24"/>
          <w:u w:val="single"/>
        </w:rPr>
        <w:t>заступника начальника</w:t>
      </w:r>
      <w:r w:rsidR="00432A05" w:rsidRPr="0042190C">
        <w:rPr>
          <w:rFonts w:eastAsia="Times New Roman" w:cs="Times New Roman"/>
          <w:b/>
          <w:bCs/>
          <w:sz w:val="24"/>
          <w:szCs w:val="24"/>
          <w:u w:val="single"/>
        </w:rPr>
        <w:t xml:space="preserve"> </w:t>
      </w:r>
      <w:r w:rsidR="00C955BE" w:rsidRPr="0042190C">
        <w:rPr>
          <w:b/>
          <w:bCs/>
          <w:sz w:val="24"/>
          <w:szCs w:val="24"/>
          <w:u w:val="single"/>
          <w:lang w:eastAsia="uk-UA"/>
        </w:rPr>
        <w:t>відділу</w:t>
      </w:r>
      <w:r w:rsidRPr="0042190C">
        <w:rPr>
          <w:b/>
          <w:bCs/>
          <w:sz w:val="24"/>
          <w:szCs w:val="24"/>
          <w:u w:val="single"/>
        </w:rPr>
        <w:t xml:space="preserve"> </w:t>
      </w:r>
      <w:r w:rsidR="00165603">
        <w:rPr>
          <w:b/>
          <w:bCs/>
          <w:sz w:val="24"/>
          <w:szCs w:val="24"/>
          <w:u w:val="single"/>
        </w:rPr>
        <w:t xml:space="preserve">організації закупівель, матеріально-технічного забезпечення та </w:t>
      </w:r>
      <w:r w:rsidR="00B8658C">
        <w:rPr>
          <w:b/>
          <w:bCs/>
          <w:sz w:val="24"/>
          <w:szCs w:val="24"/>
          <w:u w:val="single"/>
        </w:rPr>
        <w:t xml:space="preserve">цивільного захисту </w:t>
      </w:r>
      <w:r w:rsidR="00102CC7">
        <w:rPr>
          <w:b/>
          <w:sz w:val="24"/>
          <w:szCs w:val="24"/>
          <w:u w:val="single"/>
          <w:lang w:eastAsia="uk-UA"/>
        </w:rPr>
        <w:t>Полтавської обласної прокуратури</w:t>
      </w:r>
      <w:r w:rsidR="007C4729">
        <w:rPr>
          <w:b/>
          <w:sz w:val="24"/>
          <w:szCs w:val="24"/>
          <w:u w:val="single"/>
          <w:lang w:eastAsia="uk-UA"/>
        </w:rPr>
        <w:t xml:space="preserve"> </w:t>
      </w:r>
      <w:bookmarkEnd w:id="0"/>
      <w:r w:rsidR="00BC2CEB">
        <w:rPr>
          <w:b/>
          <w:sz w:val="24"/>
          <w:szCs w:val="24"/>
          <w:lang w:eastAsia="uk-UA"/>
        </w:rPr>
        <w:t xml:space="preserve"> </w:t>
      </w:r>
    </w:p>
    <w:p w14:paraId="4F48D6D6" w14:textId="275CD27C" w:rsidR="002B29F3" w:rsidRPr="002B29F3" w:rsidRDefault="002B29F3" w:rsidP="002B29F3">
      <w:pPr>
        <w:widowControl w:val="0"/>
        <w:jc w:val="center"/>
        <w:rPr>
          <w:bCs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1843"/>
        <w:gridCol w:w="709"/>
        <w:gridCol w:w="6945"/>
      </w:tblGrid>
      <w:tr w:rsidR="00415BAD" w:rsidRPr="00FB1754" w14:paraId="6F405E3E" w14:textId="77777777" w:rsidTr="004C19D5">
        <w:tc>
          <w:tcPr>
            <w:tcW w:w="9923" w:type="dxa"/>
            <w:gridSpan w:val="4"/>
            <w:vAlign w:val="center"/>
          </w:tcPr>
          <w:p w14:paraId="508090D0" w14:textId="3359B6C8" w:rsidR="00415BAD" w:rsidRPr="00432A05" w:rsidRDefault="00415BAD" w:rsidP="00432A05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Загальні умови</w:t>
            </w:r>
          </w:p>
        </w:tc>
      </w:tr>
      <w:tr w:rsidR="00B56C4B" w:rsidRPr="00FB1754" w14:paraId="30277B44" w14:textId="77777777" w:rsidTr="00F27B7E">
        <w:trPr>
          <w:trHeight w:val="268"/>
        </w:trPr>
        <w:tc>
          <w:tcPr>
            <w:tcW w:w="2269" w:type="dxa"/>
            <w:gridSpan w:val="2"/>
          </w:tcPr>
          <w:p w14:paraId="136C52D5" w14:textId="77777777" w:rsidR="00B56C4B" w:rsidRPr="0025382E" w:rsidRDefault="00B56C4B" w:rsidP="00EB2BAC">
            <w:pPr>
              <w:jc w:val="left"/>
              <w:rPr>
                <w:sz w:val="24"/>
                <w:highlight w:val="yellow"/>
              </w:rPr>
            </w:pPr>
            <w:r w:rsidRPr="00F27B7E">
              <w:rPr>
                <w:sz w:val="24"/>
              </w:rPr>
              <w:t>Посадові обов’язки</w:t>
            </w:r>
            <w:r w:rsidRPr="00631ED2">
              <w:rPr>
                <w:sz w:val="24"/>
              </w:rPr>
              <w:t xml:space="preserve"> 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092F" w14:textId="77777777" w:rsidR="00554FF8" w:rsidRPr="00554FF8" w:rsidRDefault="00554FF8" w:rsidP="00554FF8">
            <w:pPr>
              <w:shd w:val="clear" w:color="auto" w:fill="FFFFFF"/>
              <w:ind w:firstLine="169"/>
              <w:rPr>
                <w:sz w:val="24"/>
                <w:szCs w:val="24"/>
              </w:rPr>
            </w:pPr>
            <w:r w:rsidRPr="00554FF8">
              <w:rPr>
                <w:sz w:val="24"/>
                <w:szCs w:val="24"/>
              </w:rPr>
              <w:sym w:font="Symbol" w:char="F02D"/>
            </w:r>
            <w:r w:rsidRPr="00554FF8">
              <w:rPr>
                <w:sz w:val="24"/>
                <w:szCs w:val="24"/>
              </w:rPr>
              <w:t> проведення попередніх ринкових консультацій та інших методів дослідження ринку, спрямованих на отримання інформації щодо актуальних цін, постачальників/підрядників, рівня конкуренції, можливих варіантів товарів, робіт та послуг з урахуванням їх інновацій;</w:t>
            </w:r>
          </w:p>
          <w:p w14:paraId="30C22BA3" w14:textId="38537E25" w:rsidR="00554FF8" w:rsidRPr="00554FF8" w:rsidRDefault="00554FF8" w:rsidP="00554FF8">
            <w:pPr>
              <w:shd w:val="clear" w:color="auto" w:fill="FFFFFF"/>
              <w:ind w:firstLine="169"/>
              <w:rPr>
                <w:sz w:val="24"/>
                <w:szCs w:val="24"/>
              </w:rPr>
            </w:pPr>
            <w:r w:rsidRPr="00554FF8">
              <w:rPr>
                <w:sz w:val="24"/>
                <w:szCs w:val="24"/>
              </w:rPr>
              <w:sym w:font="Symbol" w:char="F02D"/>
            </w:r>
            <w:r w:rsidRPr="00554FF8">
              <w:rPr>
                <w:sz w:val="24"/>
                <w:szCs w:val="24"/>
              </w:rPr>
              <w:t xml:space="preserve"> аналіз пропозицій від уповноважених осіб щодо організації закупівельної діяльності, співпраці із закупівельною організацією </w:t>
            </w:r>
            <w:r>
              <w:rPr>
                <w:sz w:val="24"/>
                <w:szCs w:val="24"/>
              </w:rPr>
              <w:t xml:space="preserve">                     </w:t>
            </w:r>
            <w:r w:rsidRPr="00554FF8">
              <w:rPr>
                <w:sz w:val="24"/>
                <w:szCs w:val="24"/>
              </w:rPr>
              <w:t>та внесення пропозицій за його результатами;</w:t>
            </w:r>
          </w:p>
          <w:p w14:paraId="2410E4B5" w14:textId="0BCE1587" w:rsidR="00554FF8" w:rsidRPr="00554FF8" w:rsidRDefault="00554FF8" w:rsidP="00554FF8">
            <w:pPr>
              <w:shd w:val="clear" w:color="auto" w:fill="FFFFFF"/>
              <w:ind w:firstLine="169"/>
              <w:rPr>
                <w:sz w:val="24"/>
                <w:szCs w:val="24"/>
              </w:rPr>
            </w:pPr>
            <w:r w:rsidRPr="00554FF8">
              <w:rPr>
                <w:sz w:val="24"/>
                <w:szCs w:val="24"/>
              </w:rPr>
              <w:sym w:font="Symbol" w:char="F02D"/>
            </w:r>
            <w:r w:rsidRPr="00554FF8">
              <w:rPr>
                <w:sz w:val="24"/>
                <w:szCs w:val="24"/>
              </w:rPr>
              <w:t> узагальнення практики здійснення публічних закупівель. Вивчення можливості спрацювання системи автоматичних індикаторів ризиків на основі даних електронної системи закупівель та інших відкритих джерел інформації</w:t>
            </w:r>
            <w:r>
              <w:rPr>
                <w:sz w:val="24"/>
                <w:szCs w:val="24"/>
              </w:rPr>
              <w:t xml:space="preserve"> </w:t>
            </w:r>
            <w:r w:rsidRPr="00554FF8">
              <w:rPr>
                <w:sz w:val="24"/>
                <w:szCs w:val="24"/>
              </w:rPr>
              <w:t>під час проведення процедур закупівлі;</w:t>
            </w:r>
          </w:p>
          <w:p w14:paraId="3722BB16" w14:textId="73E0E134" w:rsidR="00554FF8" w:rsidRPr="00554FF8" w:rsidRDefault="00554FF8" w:rsidP="00554FF8">
            <w:pPr>
              <w:shd w:val="clear" w:color="auto" w:fill="FFFFFF"/>
              <w:ind w:firstLine="169"/>
              <w:rPr>
                <w:sz w:val="24"/>
                <w:szCs w:val="24"/>
              </w:rPr>
            </w:pPr>
            <w:r w:rsidRPr="00554FF8">
              <w:rPr>
                <w:sz w:val="24"/>
                <w:szCs w:val="24"/>
              </w:rPr>
              <w:sym w:font="Symbol" w:char="F02D"/>
            </w:r>
            <w:r w:rsidRPr="00554FF8">
              <w:rPr>
                <w:sz w:val="24"/>
                <w:szCs w:val="24"/>
              </w:rPr>
              <w:t> участь у плануванні матеріально-технічного забезпечення, організації функціонування систем енергетичного менеджменту, раціонального</w:t>
            </w:r>
            <w:r>
              <w:rPr>
                <w:sz w:val="24"/>
                <w:szCs w:val="24"/>
              </w:rPr>
              <w:t xml:space="preserve"> </w:t>
            </w:r>
            <w:r w:rsidRPr="00554FF8">
              <w:rPr>
                <w:sz w:val="24"/>
                <w:szCs w:val="24"/>
              </w:rPr>
              <w:t xml:space="preserve">та ефективного використання державного майна, </w:t>
            </w:r>
            <w:r>
              <w:rPr>
                <w:sz w:val="24"/>
                <w:szCs w:val="24"/>
              </w:rPr>
              <w:t xml:space="preserve">                     </w:t>
            </w:r>
            <w:r w:rsidRPr="00554FF8">
              <w:rPr>
                <w:sz w:val="24"/>
                <w:szCs w:val="24"/>
              </w:rPr>
              <w:t>що перебуває на балансі обласної прокуратури, забезпечення дотримання належного стану приміщень, транспортного забезпечення, пожежної безпеки та охорони праці;</w:t>
            </w:r>
          </w:p>
          <w:p w14:paraId="4A7011D5" w14:textId="035919D6" w:rsidR="00554FF8" w:rsidRPr="00554FF8" w:rsidRDefault="00554FF8" w:rsidP="00554FF8">
            <w:pPr>
              <w:shd w:val="clear" w:color="auto" w:fill="FFFFFF"/>
              <w:ind w:firstLine="169"/>
              <w:rPr>
                <w:sz w:val="24"/>
                <w:szCs w:val="24"/>
              </w:rPr>
            </w:pPr>
            <w:r w:rsidRPr="00554FF8">
              <w:rPr>
                <w:sz w:val="24"/>
                <w:szCs w:val="24"/>
              </w:rPr>
              <w:sym w:font="Symbol" w:char="F02D"/>
            </w:r>
            <w:r w:rsidRPr="00554FF8">
              <w:rPr>
                <w:sz w:val="24"/>
                <w:szCs w:val="24"/>
              </w:rPr>
              <w:t> ведення обліку матеріальних цінностей за допомогою відповідного уніфікованого програмного забезпечення. Взаємодія із цих питань</w:t>
            </w:r>
            <w:r>
              <w:rPr>
                <w:sz w:val="24"/>
                <w:szCs w:val="24"/>
              </w:rPr>
              <w:t xml:space="preserve">                     </w:t>
            </w:r>
            <w:r w:rsidRPr="00554FF8">
              <w:rPr>
                <w:sz w:val="24"/>
                <w:szCs w:val="24"/>
              </w:rPr>
              <w:t xml:space="preserve"> з відділом фінансування та бухгалтерського обліку обласної прокуратури. Забезпечення розгляду звернень громадян, інформаційних та адвокатських запитів, листів тощо;</w:t>
            </w:r>
          </w:p>
          <w:p w14:paraId="48690639" w14:textId="6CBD1BB2" w:rsidR="00554FF8" w:rsidRPr="00554FF8" w:rsidRDefault="00554FF8" w:rsidP="00554FF8">
            <w:pPr>
              <w:shd w:val="clear" w:color="auto" w:fill="FFFFFF"/>
              <w:ind w:firstLine="169"/>
              <w:rPr>
                <w:sz w:val="24"/>
                <w:szCs w:val="24"/>
              </w:rPr>
            </w:pPr>
            <w:r w:rsidRPr="00554FF8">
              <w:rPr>
                <w:sz w:val="24"/>
                <w:szCs w:val="24"/>
              </w:rPr>
              <w:sym w:font="Symbol" w:char="F02D"/>
            </w:r>
            <w:r w:rsidRPr="00554FF8">
              <w:rPr>
                <w:sz w:val="24"/>
                <w:szCs w:val="24"/>
              </w:rPr>
              <w:t xml:space="preserve"> забезпечення проведення закупівель товарів, робіт і послуг відповідно  до визначених потреб обласної прокуратури згідно Закону України «Про публічні закупівлі», інших нормативно-правових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554FF8">
              <w:rPr>
                <w:sz w:val="24"/>
                <w:szCs w:val="24"/>
              </w:rPr>
              <w:t>та організаційно-розпорядчих актів, з дотриманням критеріїв енергоефективності;</w:t>
            </w:r>
          </w:p>
          <w:p w14:paraId="00209D7D" w14:textId="77777777" w:rsidR="00554FF8" w:rsidRPr="00554FF8" w:rsidRDefault="00554FF8" w:rsidP="00554FF8">
            <w:pPr>
              <w:shd w:val="clear" w:color="auto" w:fill="FFFFFF"/>
              <w:ind w:firstLine="169"/>
              <w:rPr>
                <w:sz w:val="24"/>
                <w:szCs w:val="24"/>
              </w:rPr>
            </w:pPr>
            <w:r w:rsidRPr="00554FF8">
              <w:rPr>
                <w:sz w:val="24"/>
                <w:szCs w:val="24"/>
              </w:rPr>
              <w:sym w:font="Symbol" w:char="F02D"/>
            </w:r>
            <w:r w:rsidRPr="00554FF8">
              <w:rPr>
                <w:sz w:val="24"/>
                <w:szCs w:val="24"/>
              </w:rPr>
              <w:t> здійснення внутрішнього контролю за використанням об’єктів державної  власності та інших ресурсів, веденням закупівельної діяльності, договірної, претензійної роботи, виконанням договірних зобов’язань;</w:t>
            </w:r>
          </w:p>
          <w:p w14:paraId="7E4683A5" w14:textId="755E39B9" w:rsidR="00554FF8" w:rsidRPr="00554FF8" w:rsidRDefault="00554FF8" w:rsidP="00554FF8">
            <w:pPr>
              <w:shd w:val="clear" w:color="auto" w:fill="FFFFFF"/>
              <w:ind w:firstLine="169"/>
              <w:rPr>
                <w:sz w:val="24"/>
                <w:szCs w:val="24"/>
              </w:rPr>
            </w:pPr>
            <w:r w:rsidRPr="00554FF8">
              <w:rPr>
                <w:sz w:val="24"/>
                <w:szCs w:val="24"/>
              </w:rPr>
              <w:sym w:font="Symbol" w:char="F02D"/>
            </w:r>
            <w:r w:rsidRPr="00554FF8">
              <w:rPr>
                <w:sz w:val="24"/>
                <w:szCs w:val="24"/>
              </w:rPr>
              <w:t xml:space="preserve"> контроль за станом цивільного захисту та пожежної безпеки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554FF8">
              <w:rPr>
                <w:sz w:val="24"/>
                <w:szCs w:val="24"/>
              </w:rPr>
              <w:t>в органах прокуратури області;</w:t>
            </w:r>
          </w:p>
          <w:p w14:paraId="72355CD5" w14:textId="77777777" w:rsidR="00554FF8" w:rsidRPr="00554FF8" w:rsidRDefault="00554FF8" w:rsidP="00554FF8">
            <w:pPr>
              <w:shd w:val="clear" w:color="auto" w:fill="FFFFFF"/>
              <w:ind w:firstLine="169"/>
              <w:rPr>
                <w:sz w:val="24"/>
                <w:szCs w:val="24"/>
              </w:rPr>
            </w:pPr>
            <w:r w:rsidRPr="00554FF8">
              <w:rPr>
                <w:sz w:val="24"/>
                <w:szCs w:val="24"/>
              </w:rPr>
              <w:sym w:font="Symbol" w:char="F02D"/>
            </w:r>
            <w:r w:rsidRPr="00554FF8">
              <w:rPr>
                <w:sz w:val="24"/>
                <w:szCs w:val="24"/>
              </w:rPr>
              <w:t> здійснення контролю ремонту побутової техніки, зберігання технічних засобів і господарського інвентарю, його відновлення, поповнення і раціональну експлуатацію;</w:t>
            </w:r>
          </w:p>
          <w:p w14:paraId="4CFA0F3D" w14:textId="1819F00C" w:rsidR="00B8658C" w:rsidRPr="00554FF8" w:rsidRDefault="00554FF8" w:rsidP="00554FF8">
            <w:pPr>
              <w:shd w:val="clear" w:color="auto" w:fill="FFFFFF"/>
              <w:ind w:firstLine="169"/>
              <w:rPr>
                <w:sz w:val="24"/>
                <w:szCs w:val="24"/>
              </w:rPr>
            </w:pPr>
            <w:r w:rsidRPr="00554FF8">
              <w:rPr>
                <w:sz w:val="24"/>
                <w:szCs w:val="24"/>
              </w:rPr>
              <w:sym w:font="Symbol" w:char="F02D"/>
            </w:r>
            <w:r w:rsidRPr="00554FF8">
              <w:rPr>
                <w:sz w:val="24"/>
                <w:szCs w:val="24"/>
              </w:rPr>
              <w:t xml:space="preserve"> виконання інших доручень керівництва обласної прокуратури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554FF8">
              <w:rPr>
                <w:sz w:val="24"/>
                <w:szCs w:val="24"/>
              </w:rPr>
              <w:t>з питань, віднесених до компетенції відділу.</w:t>
            </w:r>
          </w:p>
        </w:tc>
      </w:tr>
      <w:tr w:rsidR="00B56C4B" w:rsidRPr="00FB1754" w14:paraId="7E115C87" w14:textId="77777777" w:rsidTr="00F27B7E">
        <w:trPr>
          <w:trHeight w:val="58"/>
        </w:trPr>
        <w:tc>
          <w:tcPr>
            <w:tcW w:w="2269" w:type="dxa"/>
            <w:gridSpan w:val="2"/>
          </w:tcPr>
          <w:p w14:paraId="75B0ACF4" w14:textId="77777777" w:rsidR="00B56C4B" w:rsidRPr="00FB1754" w:rsidRDefault="00B56C4B" w:rsidP="00EB2BAC">
            <w:pPr>
              <w:jc w:val="left"/>
              <w:rPr>
                <w:sz w:val="24"/>
              </w:rPr>
            </w:pPr>
            <w:r w:rsidRPr="00FB1754">
              <w:rPr>
                <w:sz w:val="24"/>
              </w:rPr>
              <w:t xml:space="preserve">Умови оплати праці </w:t>
            </w:r>
          </w:p>
        </w:tc>
        <w:tc>
          <w:tcPr>
            <w:tcW w:w="7654" w:type="dxa"/>
            <w:gridSpan w:val="2"/>
          </w:tcPr>
          <w:p w14:paraId="6D3FE815" w14:textId="77777777" w:rsidR="00F27B7E" w:rsidRDefault="00B56C4B" w:rsidP="00B56C4B">
            <w:pPr>
              <w:rPr>
                <w:sz w:val="24"/>
              </w:rPr>
            </w:pPr>
            <w:r w:rsidRPr="00FB1754">
              <w:rPr>
                <w:sz w:val="24"/>
              </w:rPr>
              <w:t>посадовий оклад</w:t>
            </w:r>
            <w:r>
              <w:rPr>
                <w:sz w:val="24"/>
              </w:rPr>
              <w:t xml:space="preserve">, надбавки, доплати, премії та компенсації відповідно </w:t>
            </w:r>
            <w:r w:rsidR="00B579A4" w:rsidRPr="00B579A4">
              <w:rPr>
                <w:sz w:val="24"/>
              </w:rPr>
              <w:t xml:space="preserve">             </w:t>
            </w:r>
            <w:r>
              <w:rPr>
                <w:sz w:val="24"/>
              </w:rPr>
              <w:t>до статей 50-</w:t>
            </w:r>
            <w:r w:rsidRPr="00FB1754">
              <w:rPr>
                <w:sz w:val="24"/>
              </w:rPr>
              <w:t>52 Закон</w:t>
            </w:r>
            <w:r>
              <w:rPr>
                <w:sz w:val="24"/>
              </w:rPr>
              <w:t xml:space="preserve">у України «Про державну службу»; </w:t>
            </w:r>
            <w:r w:rsidRPr="008C34BC">
              <w:rPr>
                <w:sz w:val="24"/>
              </w:rPr>
              <w:t>Закону Укра</w:t>
            </w:r>
            <w:r>
              <w:rPr>
                <w:sz w:val="24"/>
              </w:rPr>
              <w:t>їни «Про Державний бюджет України</w:t>
            </w:r>
            <w:r w:rsidR="00C955BE" w:rsidRPr="00C955BE">
              <w:rPr>
                <w:sz w:val="24"/>
              </w:rPr>
              <w:t xml:space="preserve"> </w:t>
            </w:r>
            <w:r>
              <w:rPr>
                <w:sz w:val="24"/>
              </w:rPr>
              <w:t>на 202</w:t>
            </w:r>
            <w:r w:rsidR="00165603">
              <w:rPr>
                <w:sz w:val="24"/>
              </w:rPr>
              <w:t>5</w:t>
            </w:r>
            <w:r>
              <w:rPr>
                <w:sz w:val="24"/>
              </w:rPr>
              <w:t xml:space="preserve"> рік», </w:t>
            </w:r>
            <w:r w:rsidRPr="00B63560">
              <w:rPr>
                <w:sz w:val="24"/>
              </w:rPr>
              <w:t>постанов Кабінету Міністрів Ук</w:t>
            </w:r>
            <w:r>
              <w:rPr>
                <w:sz w:val="24"/>
              </w:rPr>
              <w:t>раїни від 18.01.</w:t>
            </w:r>
            <w:r w:rsidRPr="00B63560">
              <w:rPr>
                <w:sz w:val="24"/>
              </w:rPr>
              <w:t>2017 № 15 «Питання оплати праці працівників державних органів»</w:t>
            </w:r>
            <w:r>
              <w:rPr>
                <w:sz w:val="24"/>
              </w:rPr>
              <w:t>,</w:t>
            </w:r>
            <w:r w:rsidR="00C955BE" w:rsidRPr="00C955BE">
              <w:rPr>
                <w:sz w:val="24"/>
              </w:rPr>
              <w:t xml:space="preserve"> </w:t>
            </w:r>
            <w:r>
              <w:rPr>
                <w:sz w:val="24"/>
              </w:rPr>
              <w:t>від 29.12.2023 №</w:t>
            </w:r>
            <w:r w:rsidR="0058230F">
              <w:rPr>
                <w:sz w:val="24"/>
              </w:rPr>
              <w:t> </w:t>
            </w:r>
            <w:r>
              <w:rPr>
                <w:sz w:val="24"/>
              </w:rPr>
              <w:t>1409 «Питання оплати праці державних службовців на основі класифікації посад</w:t>
            </w:r>
            <w:r w:rsidR="002B29F3">
              <w:rPr>
                <w:sz w:val="24"/>
              </w:rPr>
              <w:t xml:space="preserve"> </w:t>
            </w:r>
            <w:r w:rsidR="00554FF8">
              <w:rPr>
                <w:sz w:val="24"/>
              </w:rPr>
              <w:t xml:space="preserve">                    </w:t>
            </w:r>
            <w:r>
              <w:rPr>
                <w:sz w:val="24"/>
              </w:rPr>
              <w:t>у 202</w:t>
            </w:r>
            <w:r w:rsidR="00165603">
              <w:rPr>
                <w:sz w:val="24"/>
              </w:rPr>
              <w:t>5</w:t>
            </w:r>
            <w:r>
              <w:rPr>
                <w:sz w:val="24"/>
              </w:rPr>
              <w:t xml:space="preserve"> році».</w:t>
            </w:r>
          </w:p>
          <w:p w14:paraId="15E7F0E6" w14:textId="4B49E76C" w:rsidR="00554FF8" w:rsidRPr="00801508" w:rsidRDefault="00554FF8" w:rsidP="00B56C4B">
            <w:pPr>
              <w:rPr>
                <w:sz w:val="24"/>
              </w:rPr>
            </w:pPr>
          </w:p>
        </w:tc>
      </w:tr>
      <w:tr w:rsidR="00B56C4B" w:rsidRPr="00FB1754" w14:paraId="053646A2" w14:textId="77777777" w:rsidTr="00F27B7E">
        <w:tc>
          <w:tcPr>
            <w:tcW w:w="2269" w:type="dxa"/>
            <w:gridSpan w:val="2"/>
          </w:tcPr>
          <w:p w14:paraId="7B1790FD" w14:textId="4DC61F30" w:rsidR="00B56C4B" w:rsidRPr="00801508" w:rsidRDefault="00B56C4B" w:rsidP="00B56C4B">
            <w:pPr>
              <w:jc w:val="left"/>
              <w:rPr>
                <w:sz w:val="24"/>
              </w:rPr>
            </w:pPr>
            <w:r w:rsidRPr="00952FD4">
              <w:rPr>
                <w:rFonts w:cs="Times New Roman"/>
                <w:sz w:val="24"/>
                <w:szCs w:val="24"/>
              </w:rPr>
              <w:lastRenderedPageBreak/>
              <w:t>Інформація про строковість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2FD4">
              <w:rPr>
                <w:rFonts w:cs="Times New Roman"/>
                <w:sz w:val="24"/>
                <w:szCs w:val="24"/>
              </w:rPr>
              <w:t>призначення на посаду</w:t>
            </w:r>
          </w:p>
        </w:tc>
        <w:tc>
          <w:tcPr>
            <w:tcW w:w="7654" w:type="dxa"/>
            <w:gridSpan w:val="2"/>
          </w:tcPr>
          <w:p w14:paraId="49065379" w14:textId="3EEDDFF5" w:rsidR="00B56C4B" w:rsidRPr="00432A05" w:rsidRDefault="00B56C4B" w:rsidP="002B29F3">
            <w:pPr>
              <w:ind w:firstLine="3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432A05">
              <w:rPr>
                <w:sz w:val="24"/>
                <w:szCs w:val="24"/>
              </w:rPr>
              <w:t>троково</w:t>
            </w:r>
            <w:proofErr w:type="spellEnd"/>
            <w:r w:rsidRPr="00432A05">
              <w:rPr>
                <w:sz w:val="24"/>
                <w:szCs w:val="24"/>
              </w:rPr>
              <w:t>, на період дії воєнного стану в Україні та до дня призначення суб’єктом призначення переможця конкурсного відбору на цю посаду, але не більше 12 місяців з дня припинення</w:t>
            </w:r>
            <w:r w:rsidR="00C955BE" w:rsidRPr="00C955BE">
              <w:rPr>
                <w:sz w:val="24"/>
                <w:szCs w:val="24"/>
                <w:lang w:val="ru-RU"/>
              </w:rPr>
              <w:t xml:space="preserve"> </w:t>
            </w:r>
            <w:r w:rsidRPr="00432A05">
              <w:rPr>
                <w:sz w:val="24"/>
                <w:szCs w:val="24"/>
              </w:rPr>
              <w:t>чи скасування воєнного стану.</w:t>
            </w:r>
          </w:p>
          <w:p w14:paraId="5222341E" w14:textId="26520471" w:rsidR="002B29F3" w:rsidRPr="00C955BE" w:rsidRDefault="00B56C4B" w:rsidP="002B29F3">
            <w:pPr>
              <w:ind w:firstLine="315"/>
              <w:rPr>
                <w:sz w:val="24"/>
                <w:szCs w:val="24"/>
              </w:rPr>
            </w:pPr>
            <w:r w:rsidRPr="00432A05">
              <w:rPr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</w:t>
            </w:r>
            <w:r w:rsidR="00C955BE" w:rsidRPr="00C955BE">
              <w:rPr>
                <w:sz w:val="24"/>
                <w:szCs w:val="24"/>
                <w:lang w:val="ru-RU"/>
              </w:rPr>
              <w:t xml:space="preserve"> </w:t>
            </w:r>
            <w:r w:rsidRPr="00432A05">
              <w:rPr>
                <w:sz w:val="24"/>
                <w:szCs w:val="24"/>
              </w:rPr>
              <w:t>без обов’язкового проведення конкурсу щороку.</w:t>
            </w:r>
          </w:p>
        </w:tc>
      </w:tr>
      <w:tr w:rsidR="00B56C4B" w:rsidRPr="00FB1754" w14:paraId="49C57FB3" w14:textId="77777777" w:rsidTr="00F27B7E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5F44" w14:textId="0B015F5A" w:rsidR="00B56C4B" w:rsidRPr="00FB1754" w:rsidRDefault="00B56C4B" w:rsidP="00CC6F66">
            <w:pPr>
              <w:jc w:val="left"/>
              <w:rPr>
                <w:sz w:val="24"/>
              </w:rPr>
            </w:pPr>
            <w:r w:rsidRPr="00CC6F66">
              <w:rPr>
                <w:rFonts w:eastAsia="Times New Roman" w:cs="Times New Roman"/>
                <w:sz w:val="24"/>
                <w:szCs w:val="24"/>
              </w:rPr>
              <w:t>Перелік документів, які необхідно надати для призначення на посаду державної служби в період дії воєнного стану, у тому числі спосіб подання, адреса та строк їх подання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071" w14:textId="55E1A3A7" w:rsidR="00B56C4B" w:rsidRDefault="00B56C4B" w:rsidP="0044020E">
            <w:pPr>
              <w:pStyle w:val="a6"/>
              <w:widowControl w:val="0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заява про призначення на посаду на період дії воєнного стану 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</w:t>
            </w:r>
            <w:r w:rsidR="00BF698E">
              <w:rPr>
                <w:rFonts w:ascii="Times New Roman" w:hAnsi="Times New Roman" w:cs="Times New Roman"/>
                <w:sz w:val="24"/>
              </w:rPr>
              <w:t>(</w:t>
            </w:r>
            <w:r w:rsidR="004D1FAA">
              <w:rPr>
                <w:rFonts w:ascii="Times New Roman" w:hAnsi="Times New Roman" w:cs="Times New Roman"/>
                <w:sz w:val="24"/>
              </w:rPr>
              <w:t>з</w:t>
            </w:r>
            <w:r w:rsidR="00BF698E" w:rsidRPr="00BF698E">
              <w:rPr>
                <w:rFonts w:ascii="Times New Roman" w:hAnsi="Times New Roman" w:cs="Times New Roman"/>
                <w:sz w:val="24"/>
              </w:rPr>
              <w:t xml:space="preserve"> підписом</w:t>
            </w:r>
            <w:r>
              <w:rPr>
                <w:rFonts w:ascii="Times New Roman" w:hAnsi="Times New Roman" w:cs="Times New Roman"/>
                <w:sz w:val="24"/>
              </w:rPr>
              <w:t>);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14:paraId="1F4BA33D" w14:textId="18276463" w:rsidR="00B56C4B" w:rsidRDefault="00B56C4B" w:rsidP="0044020E">
            <w:pPr>
              <w:pStyle w:val="a6"/>
              <w:widowControl w:val="0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резюме (відповідно до постанови КМУ від 25.03.2016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№ 246);</w:t>
            </w:r>
          </w:p>
          <w:p w14:paraId="33C219E0" w14:textId="0FC5CA1E" w:rsidR="00B56C4B" w:rsidRDefault="00B56C4B" w:rsidP="0044020E">
            <w:pPr>
              <w:pStyle w:val="a6"/>
              <w:widowControl w:val="0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особова картка державного службовця встановленого зразка (затверджена наказом НАДС від 19.05.2020 № 77-20) </w:t>
            </w:r>
            <w:r w:rsidR="00BF698E">
              <w:rPr>
                <w:rFonts w:ascii="Times New Roman" w:hAnsi="Times New Roman" w:cs="Times New Roman"/>
                <w:sz w:val="24"/>
              </w:rPr>
              <w:t>(</w:t>
            </w:r>
            <w:r w:rsidR="004D1FAA">
              <w:rPr>
                <w:rFonts w:ascii="Times New Roman" w:hAnsi="Times New Roman" w:cs="Times New Roman"/>
                <w:sz w:val="24"/>
              </w:rPr>
              <w:t>з підписом</w:t>
            </w:r>
            <w:r w:rsidR="00BF698E">
              <w:rPr>
                <w:rFonts w:ascii="Times New Roman" w:hAnsi="Times New Roman" w:cs="Times New Roman"/>
                <w:sz w:val="24"/>
              </w:rPr>
              <w:t>);</w:t>
            </w:r>
          </w:p>
          <w:p w14:paraId="3867817D" w14:textId="467D1053" w:rsidR="00B56C4B" w:rsidRDefault="00B56C4B" w:rsidP="0044020E">
            <w:pPr>
              <w:pStyle w:val="a6"/>
              <w:widowControl w:val="0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паспорта громадянина України</w:t>
            </w:r>
            <w:r w:rsidR="005D5B2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D5B25" w:rsidRPr="005D5B25">
              <w:rPr>
                <w:rFonts w:ascii="Times New Roman" w:hAnsi="Times New Roman" w:cs="Times New Roman"/>
                <w:sz w:val="24"/>
              </w:rPr>
              <w:t>(ID-картки)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75DF6D73" w14:textId="235710D2" w:rsidR="00B56C4B" w:rsidRDefault="00B56C4B" w:rsidP="0044020E">
            <w:pPr>
              <w:pStyle w:val="a6"/>
              <w:widowControl w:val="0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копія облікової картки платника податків (окрім фізичних осіб, </w:t>
            </w:r>
            <w:r w:rsidR="00B579A4" w:rsidRPr="00B579A4"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</w:rPr>
              <w:t>які через свої релігійні переконання відмовляються</w:t>
            </w:r>
            <w:r w:rsidR="00C955BE" w:rsidRPr="00C955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від прийняття реєстраційного номера облікової картки платника податків </w:t>
            </w:r>
            <w:r w:rsidR="00C955BE" w:rsidRPr="00C955BE">
              <w:rPr>
                <w:rFonts w:ascii="Times New Roman" w:hAnsi="Times New Roman" w:cs="Times New Roman"/>
                <w:sz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</w:rPr>
              <w:t>та повідомили про це відповідний контролюючий орган</w:t>
            </w:r>
            <w:r w:rsidR="00C955BE" w:rsidRPr="00C955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і мають відмітку у паспорті);</w:t>
            </w:r>
          </w:p>
          <w:p w14:paraId="1776DB34" w14:textId="4DBECDD3" w:rsidR="00B56C4B" w:rsidRDefault="00B56C4B" w:rsidP="0044020E">
            <w:pPr>
              <w:pStyle w:val="a6"/>
              <w:widowControl w:val="0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копії документів про освіту з додатками, науковий ступінь, вчене звання;</w:t>
            </w:r>
          </w:p>
          <w:p w14:paraId="2BEAF098" w14:textId="36504615" w:rsidR="00B56C4B" w:rsidRPr="005B1AB6" w:rsidRDefault="00B56C4B" w:rsidP="0044020E">
            <w:pPr>
              <w:pStyle w:val="a6"/>
              <w:widowControl w:val="0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трудової книжки</w:t>
            </w:r>
            <w:r w:rsidRPr="00B5695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або В</w:t>
            </w:r>
            <w:r w:rsidRPr="00082EA8">
              <w:rPr>
                <w:rFonts w:ascii="Times New Roman" w:hAnsi="Times New Roman" w:cs="Times New Roman"/>
                <w:sz w:val="24"/>
              </w:rPr>
              <w:t>итяг з електронної трудової книжки</w:t>
            </w:r>
            <w:r>
              <w:rPr>
                <w:rFonts w:ascii="Times New Roman" w:hAnsi="Times New Roman" w:cs="Times New Roman"/>
                <w:sz w:val="24"/>
              </w:rPr>
              <w:t xml:space="preserve">, який можна </w:t>
            </w:r>
            <w:r w:rsidRPr="00082EA8">
              <w:rPr>
                <w:rFonts w:ascii="Times New Roman" w:hAnsi="Times New Roman" w:cs="Times New Roman"/>
                <w:sz w:val="24"/>
              </w:rPr>
              <w:t xml:space="preserve">сформувати онлайн, скориставшись </w:t>
            </w:r>
            <w:proofErr w:type="spellStart"/>
            <w:r w:rsidRPr="00082EA8">
              <w:rPr>
                <w:rFonts w:ascii="Times New Roman" w:hAnsi="Times New Roman" w:cs="Times New Roman"/>
                <w:sz w:val="24"/>
              </w:rPr>
              <w:t>вебпорталом</w:t>
            </w:r>
            <w:proofErr w:type="spellEnd"/>
            <w:r w:rsidRPr="00082EA8">
              <w:rPr>
                <w:rFonts w:ascii="Times New Roman" w:hAnsi="Times New Roman" w:cs="Times New Roman"/>
                <w:sz w:val="24"/>
              </w:rPr>
              <w:t xml:space="preserve"> електронних послуг Пенсійного фонду України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45C40845" w14:textId="5D3CA8B1" w:rsidR="00B56C4B" w:rsidRDefault="00B56C4B" w:rsidP="0044020E">
            <w:pPr>
              <w:pStyle w:val="a6"/>
              <w:widowControl w:val="0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на проходження перевірки 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</w:rPr>
              <w:t>та на оприлюднення відомостей стосовно неї відповідно до зазначеного Закону або завірена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 установленому порядку копія довідки про результати проведення перевірки відповідно до Закону України «Про очищення влади» (за наявності);</w:t>
            </w:r>
          </w:p>
          <w:p w14:paraId="0A1370AA" w14:textId="664A456F" w:rsidR="005D5B25" w:rsidRDefault="005D5B25" w:rsidP="0044020E">
            <w:pPr>
              <w:pStyle w:val="a6"/>
              <w:widowControl w:val="0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5D5B25">
              <w:rPr>
                <w:rFonts w:ascii="Times New Roman" w:hAnsi="Times New Roman" w:cs="Times New Roman"/>
                <w:sz w:val="24"/>
              </w:rPr>
              <w:t>исьмова згода на проведення спеціальної перевірки за формою згідно з додатком 1 Порядку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D5B25">
              <w:rPr>
                <w:rFonts w:ascii="Times New Roman" w:hAnsi="Times New Roman" w:cs="Times New Roman"/>
                <w:sz w:val="24"/>
              </w:rPr>
              <w:t>проведення спеціальної перевірки стосовно осіб, які претендують на зайняття посад, які передбачають зайняття відповідального або особ</w:t>
            </w:r>
            <w:bookmarkStart w:id="1" w:name="_GoBack"/>
            <w:bookmarkEnd w:id="1"/>
            <w:r w:rsidRPr="005D5B25">
              <w:rPr>
                <w:rFonts w:ascii="Times New Roman" w:hAnsi="Times New Roman" w:cs="Times New Roman"/>
                <w:sz w:val="24"/>
              </w:rPr>
              <w:t>ливо відповідального становища, та посад</w:t>
            </w:r>
            <w:r w:rsidR="00162064" w:rsidRPr="0016206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5D5B25">
              <w:rPr>
                <w:rFonts w:ascii="Times New Roman" w:hAnsi="Times New Roman" w:cs="Times New Roman"/>
                <w:sz w:val="24"/>
              </w:rPr>
              <w:t>з підвищеним корупційним ризиком, затвердженого постановою Кабінету Міністрів України від 25.03.2015 № 171;</w:t>
            </w:r>
          </w:p>
          <w:p w14:paraId="196018B1" w14:textId="21A8550D" w:rsidR="00B56C4B" w:rsidRPr="005D5B25" w:rsidRDefault="00B56C4B" w:rsidP="0044020E">
            <w:pPr>
              <w:pStyle w:val="a6"/>
              <w:widowControl w:val="0"/>
              <w:numPr>
                <w:ilvl w:val="0"/>
                <w:numId w:val="24"/>
              </w:numPr>
              <w:spacing w:after="0" w:line="240" w:lineRule="auto"/>
              <w:ind w:left="30"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5D5B25">
              <w:rPr>
                <w:rFonts w:ascii="Times New Roman" w:hAnsi="Times New Roman" w:cs="Times New Roman"/>
                <w:sz w:val="24"/>
              </w:rPr>
              <w:t>підтвердження подання декларації особи, уповноваженої</w:t>
            </w:r>
            <w:r w:rsidR="00B579A4" w:rsidRPr="005D5B25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5D5B25" w:rsidRPr="005D5B25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     </w:t>
            </w:r>
            <w:r w:rsidRPr="005D5B25">
              <w:rPr>
                <w:rFonts w:ascii="Times New Roman" w:hAnsi="Times New Roman" w:cs="Times New Roman"/>
                <w:sz w:val="24"/>
              </w:rPr>
              <w:t>на виконання функцій держави або місцевого самоврядування, за минулий рік;</w:t>
            </w:r>
          </w:p>
          <w:p w14:paraId="70D22E2A" w14:textId="74E1FC74" w:rsidR="002B29F3" w:rsidRPr="005D5B25" w:rsidRDefault="00B56C4B" w:rsidP="0044020E">
            <w:pPr>
              <w:pStyle w:val="a6"/>
              <w:widowControl w:val="0"/>
              <w:numPr>
                <w:ilvl w:val="0"/>
                <w:numId w:val="24"/>
              </w:numPr>
              <w:spacing w:after="0" w:line="240" w:lineRule="auto"/>
              <w:ind w:left="30"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5D5B25">
              <w:rPr>
                <w:rFonts w:ascii="Times New Roman" w:hAnsi="Times New Roman" w:cs="Times New Roman"/>
                <w:sz w:val="24"/>
              </w:rPr>
              <w:t xml:space="preserve">державний сертифікат про рівень володіння державною мовою </w:t>
            </w:r>
            <w:r w:rsidR="005D5B25" w:rsidRPr="005D5B25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</w:t>
            </w:r>
            <w:r w:rsidRPr="005D5B25">
              <w:rPr>
                <w:rFonts w:ascii="Times New Roman" w:hAnsi="Times New Roman" w:cs="Times New Roman"/>
                <w:sz w:val="24"/>
              </w:rPr>
              <w:t>(за наявності).</w:t>
            </w:r>
          </w:p>
          <w:p w14:paraId="25A1C313" w14:textId="4902F8EF" w:rsidR="002B29F3" w:rsidRPr="002B29F3" w:rsidRDefault="00B56C4B" w:rsidP="0044020E">
            <w:pPr>
              <w:widowControl w:val="0"/>
              <w:ind w:left="37" w:firstLine="421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sz w:val="24"/>
              </w:rPr>
              <w:t xml:space="preserve">Документи приймаються </w:t>
            </w:r>
            <w:r>
              <w:rPr>
                <w:rFonts w:cs="Times New Roman"/>
                <w:b/>
                <w:bCs/>
                <w:sz w:val="24"/>
              </w:rPr>
              <w:t xml:space="preserve">до </w:t>
            </w:r>
            <w:r w:rsidR="00554FF8">
              <w:rPr>
                <w:rFonts w:cs="Times New Roman"/>
                <w:b/>
                <w:bCs/>
                <w:sz w:val="24"/>
                <w:lang w:val="ru-RU"/>
              </w:rPr>
              <w:t>18</w:t>
            </w:r>
            <w:r w:rsidR="000C1456" w:rsidRPr="000C1456">
              <w:rPr>
                <w:rFonts w:cs="Times New Roman"/>
                <w:b/>
                <w:bCs/>
                <w:sz w:val="24"/>
                <w:lang w:val="ru-RU"/>
              </w:rPr>
              <w:t>:</w:t>
            </w:r>
            <w:r w:rsidR="00554FF8">
              <w:rPr>
                <w:rFonts w:cs="Times New Roman"/>
                <w:b/>
                <w:bCs/>
                <w:sz w:val="24"/>
                <w:lang w:val="ru-RU"/>
              </w:rPr>
              <w:t>00</w:t>
            </w:r>
            <w:r w:rsidRPr="00C64CED">
              <w:rPr>
                <w:rFonts w:cs="Times New Roman"/>
                <w:b/>
                <w:bCs/>
                <w:sz w:val="24"/>
                <w:lang w:val="ru-RU"/>
              </w:rPr>
              <w:t xml:space="preserve"> </w:t>
            </w:r>
            <w:r w:rsidR="002B4253">
              <w:rPr>
                <w:rFonts w:cs="Times New Roman"/>
                <w:b/>
                <w:bCs/>
                <w:sz w:val="24"/>
                <w:lang w:val="ru-RU"/>
              </w:rPr>
              <w:t>05</w:t>
            </w:r>
            <w:r w:rsidRPr="00B65DE7">
              <w:rPr>
                <w:rFonts w:cs="Times New Roman"/>
                <w:b/>
                <w:bCs/>
                <w:sz w:val="24"/>
              </w:rPr>
              <w:t xml:space="preserve"> </w:t>
            </w:r>
            <w:r w:rsidR="00554FF8">
              <w:rPr>
                <w:rFonts w:cs="Times New Roman"/>
                <w:b/>
                <w:bCs/>
                <w:sz w:val="24"/>
              </w:rPr>
              <w:t>червня</w:t>
            </w:r>
            <w:r w:rsidRPr="00B65DE7">
              <w:rPr>
                <w:rFonts w:cs="Times New Roman"/>
                <w:b/>
                <w:bCs/>
                <w:sz w:val="24"/>
              </w:rPr>
              <w:t xml:space="preserve"> 202</w:t>
            </w:r>
            <w:r w:rsidR="00165603">
              <w:rPr>
                <w:rFonts w:cs="Times New Roman"/>
                <w:b/>
                <w:bCs/>
                <w:sz w:val="24"/>
              </w:rPr>
              <w:t>5</w:t>
            </w:r>
            <w:r w:rsidRPr="00C64CED">
              <w:rPr>
                <w:rFonts w:cs="Times New Roman"/>
                <w:b/>
                <w:bCs/>
                <w:sz w:val="24"/>
              </w:rPr>
              <w:t xml:space="preserve"> року</w:t>
            </w:r>
            <w:r>
              <w:rPr>
                <w:rFonts w:cs="Times New Roman"/>
                <w:sz w:val="24"/>
              </w:rPr>
              <w:t xml:space="preserve"> </w:t>
            </w:r>
            <w:r w:rsidRPr="00966156">
              <w:rPr>
                <w:rFonts w:cs="Times New Roman"/>
                <w:b/>
                <w:bCs/>
                <w:sz w:val="24"/>
              </w:rPr>
              <w:t>включно</w:t>
            </w:r>
            <w:r w:rsidRPr="00B56957">
              <w:rPr>
                <w:rFonts w:cs="Times New Roman"/>
                <w:sz w:val="24"/>
                <w:lang w:val="ru-RU"/>
              </w:rPr>
              <w:t xml:space="preserve"> </w:t>
            </w:r>
            <w:r w:rsidR="00B579A4" w:rsidRPr="00B579A4">
              <w:rPr>
                <w:rFonts w:cs="Times New Roman"/>
                <w:sz w:val="24"/>
                <w:lang w:val="ru-RU"/>
              </w:rPr>
              <w:t xml:space="preserve">               </w:t>
            </w:r>
            <w:r>
              <w:rPr>
                <w:rFonts w:cs="Times New Roman"/>
                <w:sz w:val="24"/>
              </w:rPr>
              <w:t xml:space="preserve">на </w:t>
            </w:r>
            <w:r w:rsidRPr="00F30706">
              <w:rPr>
                <w:rFonts w:cs="Times New Roman"/>
                <w:b/>
                <w:bCs/>
                <w:sz w:val="24"/>
              </w:rPr>
              <w:t xml:space="preserve">електронну адресу: 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vrk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@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pol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gp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gov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ua</w:t>
            </w:r>
            <w:proofErr w:type="spellEnd"/>
            <w:r>
              <w:rPr>
                <w:rFonts w:cs="Times New Roman"/>
                <w:sz w:val="24"/>
              </w:rPr>
              <w:t xml:space="preserve"> або </w:t>
            </w:r>
            <w:r>
              <w:rPr>
                <w:rFonts w:cs="Times New Roman"/>
                <w:b/>
                <w:bCs/>
                <w:sz w:val="24"/>
              </w:rPr>
              <w:t>через скриньку звернень громадян</w:t>
            </w:r>
            <w:r>
              <w:rPr>
                <w:rFonts w:cs="Times New Roman"/>
                <w:sz w:val="24"/>
              </w:rPr>
              <w:t xml:space="preserve"> у Полтавській обласній прокуратурі</w:t>
            </w:r>
            <w:r w:rsidR="00C955BE" w:rsidRPr="00C955BE">
              <w:rPr>
                <w:rFonts w:cs="Times New Roman"/>
                <w:sz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за </w:t>
            </w:r>
            <w:proofErr w:type="spellStart"/>
            <w:r>
              <w:rPr>
                <w:rFonts w:cs="Times New Roman"/>
                <w:sz w:val="24"/>
              </w:rPr>
              <w:t>адресою</w:t>
            </w:r>
            <w:proofErr w:type="spellEnd"/>
            <w:r>
              <w:rPr>
                <w:rFonts w:cs="Times New Roman"/>
                <w:sz w:val="24"/>
              </w:rPr>
              <w:t xml:space="preserve">: </w:t>
            </w:r>
            <w:r w:rsidRPr="00F30706">
              <w:rPr>
                <w:rFonts w:cs="Times New Roman"/>
                <w:b/>
                <w:bCs/>
                <w:sz w:val="24"/>
              </w:rPr>
              <w:t>вул. 1100-річчя Полтави, буд.7 м. Полтава, 36000</w:t>
            </w:r>
          </w:p>
        </w:tc>
      </w:tr>
      <w:tr w:rsidR="00B56C4B" w:rsidRPr="00FB1754" w14:paraId="6EFA3C01" w14:textId="77777777" w:rsidTr="00F27B7E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DCE7" w14:textId="77777777" w:rsidR="00B56C4B" w:rsidRDefault="00B56C4B" w:rsidP="00B56C4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Прізвище, ім’я та </w:t>
            </w:r>
          </w:p>
          <w:p w14:paraId="24EE8720" w14:textId="16DD05A2" w:rsidR="00E05E29" w:rsidRPr="00EB2BAC" w:rsidRDefault="00B56C4B" w:rsidP="00B56C4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по батькові, номер телефону та адреса електронної пошти особи, яка надає додаткову інформацію з питань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>призначення на посаду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A877" w14:textId="5CB8A553" w:rsidR="00B56C4B" w:rsidRDefault="00B65DE7" w:rsidP="0044020E">
            <w:pPr>
              <w:widowControl w:val="0"/>
              <w:rPr>
                <w:rFonts w:eastAsia="Arial" w:cs="Times New Roman"/>
                <w:sz w:val="24"/>
                <w:szCs w:val="24"/>
                <w:lang w:val="ru-RU"/>
              </w:rPr>
            </w:pPr>
            <w:r>
              <w:rPr>
                <w:rFonts w:eastAsia="Arial" w:cs="Times New Roman"/>
                <w:sz w:val="24"/>
                <w:szCs w:val="24"/>
                <w:lang w:val="ru-RU"/>
              </w:rPr>
              <w:lastRenderedPageBreak/>
              <w:t xml:space="preserve">ГРАЖДЯН Яна </w:t>
            </w:r>
            <w:proofErr w:type="spellStart"/>
            <w:r>
              <w:rPr>
                <w:rFonts w:eastAsia="Arial" w:cs="Times New Roman"/>
                <w:sz w:val="24"/>
                <w:szCs w:val="24"/>
                <w:lang w:val="ru-RU"/>
              </w:rPr>
              <w:t>Анатоліївна</w:t>
            </w:r>
            <w:proofErr w:type="spellEnd"/>
          </w:p>
          <w:p w14:paraId="2E5BA0BE" w14:textId="77777777" w:rsidR="00B56C4B" w:rsidRDefault="00B56C4B" w:rsidP="0044020E">
            <w:pPr>
              <w:widowControl w:val="0"/>
              <w:rPr>
                <w:rFonts w:cs="Times New Roman"/>
                <w:sz w:val="24"/>
                <w:szCs w:val="24"/>
                <w:lang w:val="ru-RU"/>
              </w:rPr>
            </w:pPr>
          </w:p>
          <w:p w14:paraId="0C3265C1" w14:textId="77777777" w:rsidR="00B56C4B" w:rsidRDefault="00B56C4B" w:rsidP="0044020E">
            <w:pPr>
              <w:widowControl w:val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(0532) 56-29-99 </w:t>
            </w:r>
          </w:p>
          <w:p w14:paraId="775E128A" w14:textId="04765098" w:rsidR="00B56C4B" w:rsidRPr="00FB1754" w:rsidRDefault="00B56C4B" w:rsidP="0044020E">
            <w:pPr>
              <w:widowControl w:val="0"/>
              <w:rPr>
                <w:sz w:val="8"/>
                <w:szCs w:val="8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vrk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pol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gp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gov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B56C4B" w:rsidRPr="00FB1754" w14:paraId="05868B1E" w14:textId="77777777" w:rsidTr="004C19D5">
        <w:tc>
          <w:tcPr>
            <w:tcW w:w="9923" w:type="dxa"/>
            <w:gridSpan w:val="4"/>
          </w:tcPr>
          <w:p w14:paraId="10DCE695" w14:textId="382DC928" w:rsidR="00E05E29" w:rsidRPr="00FB1754" w:rsidRDefault="00B56C4B" w:rsidP="0044020E">
            <w:pPr>
              <w:widowControl w:val="0"/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Кваліфікаційні вимоги</w:t>
            </w:r>
          </w:p>
        </w:tc>
      </w:tr>
      <w:tr w:rsidR="00B56C4B" w:rsidRPr="00FB1754" w14:paraId="433FB299" w14:textId="77777777" w:rsidTr="00CC6F66">
        <w:trPr>
          <w:trHeight w:val="136"/>
        </w:trPr>
        <w:tc>
          <w:tcPr>
            <w:tcW w:w="426" w:type="dxa"/>
          </w:tcPr>
          <w:p w14:paraId="1593BF17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01689E1" w14:textId="77777777" w:rsidR="00B56C4B" w:rsidRPr="00B65DE7" w:rsidRDefault="00B56C4B" w:rsidP="00B56C4B">
            <w:pPr>
              <w:widowControl w:val="0"/>
              <w:rPr>
                <w:sz w:val="24"/>
                <w:highlight w:val="yellow"/>
              </w:rPr>
            </w:pPr>
            <w:r w:rsidRPr="00CD1460">
              <w:rPr>
                <w:sz w:val="24"/>
              </w:rPr>
              <w:t>Освіта</w:t>
            </w:r>
          </w:p>
        </w:tc>
        <w:tc>
          <w:tcPr>
            <w:tcW w:w="6945" w:type="dxa"/>
          </w:tcPr>
          <w:p w14:paraId="32500795" w14:textId="601A648C" w:rsidR="00B56C4B" w:rsidRPr="00F27B7E" w:rsidRDefault="00CD1460" w:rsidP="0044020E">
            <w:pPr>
              <w:widowControl w:val="0"/>
              <w:rPr>
                <w:sz w:val="24"/>
                <w:szCs w:val="24"/>
              </w:rPr>
            </w:pPr>
            <w:r w:rsidRPr="00F27B7E">
              <w:rPr>
                <w:rFonts w:cs="Times New Roman"/>
                <w:sz w:val="24"/>
                <w:szCs w:val="24"/>
              </w:rPr>
              <w:t xml:space="preserve">вища освіта не нижче ступеня </w:t>
            </w:r>
            <w:r w:rsidRPr="00F27B7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магістра </w:t>
            </w:r>
            <w:r w:rsidR="00B8658C" w:rsidRPr="00F27B7E">
              <w:rPr>
                <w:rFonts w:cs="Times New Roman"/>
                <w:sz w:val="24"/>
                <w:szCs w:val="24"/>
                <w:shd w:val="clear" w:color="auto" w:fill="FFFFFF"/>
              </w:rPr>
              <w:t>(спеціаліста)</w:t>
            </w:r>
          </w:p>
        </w:tc>
      </w:tr>
      <w:tr w:rsidR="00B56C4B" w:rsidRPr="00FB1754" w14:paraId="11CC1BB4" w14:textId="77777777" w:rsidTr="002B29F3">
        <w:tc>
          <w:tcPr>
            <w:tcW w:w="426" w:type="dxa"/>
          </w:tcPr>
          <w:p w14:paraId="7DB37EC1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552" w:type="dxa"/>
            <w:gridSpan w:val="2"/>
          </w:tcPr>
          <w:p w14:paraId="6A12B6E2" w14:textId="77777777" w:rsidR="00B56C4B" w:rsidRPr="00B65DE7" w:rsidRDefault="00B56C4B" w:rsidP="00B56C4B">
            <w:pPr>
              <w:widowControl w:val="0"/>
              <w:rPr>
                <w:sz w:val="24"/>
                <w:highlight w:val="yellow"/>
              </w:rPr>
            </w:pPr>
            <w:r w:rsidRPr="00CD1460">
              <w:rPr>
                <w:sz w:val="24"/>
              </w:rPr>
              <w:t xml:space="preserve">Досвід роботи </w:t>
            </w:r>
          </w:p>
        </w:tc>
        <w:tc>
          <w:tcPr>
            <w:tcW w:w="6945" w:type="dxa"/>
          </w:tcPr>
          <w:p w14:paraId="525E96CD" w14:textId="6D7765D9" w:rsidR="00B56C4B" w:rsidRPr="00F27B7E" w:rsidRDefault="00CD1460" w:rsidP="0044020E">
            <w:pPr>
              <w:widowControl w:val="0"/>
              <w:rPr>
                <w:sz w:val="24"/>
                <w:szCs w:val="24"/>
              </w:rPr>
            </w:pPr>
            <w:r w:rsidRPr="00F27B7E">
              <w:rPr>
                <w:sz w:val="24"/>
                <w:szCs w:val="24"/>
              </w:rPr>
              <w:t xml:space="preserve">досвід роботи на посадах державної служби категорій </w:t>
            </w:r>
            <w:r w:rsidRPr="00F27B7E">
              <w:rPr>
                <w:sz w:val="24"/>
                <w:szCs w:val="24"/>
                <w:lang w:val="ru-RU"/>
              </w:rPr>
              <w:t>«</w:t>
            </w:r>
            <w:r w:rsidRPr="00F27B7E">
              <w:rPr>
                <w:sz w:val="24"/>
                <w:szCs w:val="24"/>
              </w:rPr>
              <w:t>Б</w:t>
            </w:r>
            <w:r w:rsidRPr="00F27B7E">
              <w:rPr>
                <w:sz w:val="24"/>
                <w:szCs w:val="24"/>
                <w:lang w:val="ru-RU"/>
              </w:rPr>
              <w:t>»</w:t>
            </w:r>
            <w:r w:rsidRPr="00F27B7E">
              <w:rPr>
                <w:sz w:val="24"/>
                <w:szCs w:val="24"/>
              </w:rPr>
              <w:t xml:space="preserve"> чи </w:t>
            </w:r>
            <w:r w:rsidRPr="00F27B7E">
              <w:rPr>
                <w:sz w:val="24"/>
                <w:szCs w:val="24"/>
                <w:lang w:val="ru-RU"/>
              </w:rPr>
              <w:t>«</w:t>
            </w:r>
            <w:r w:rsidRPr="00F27B7E">
              <w:rPr>
                <w:sz w:val="24"/>
                <w:szCs w:val="24"/>
              </w:rPr>
              <w:t>В</w:t>
            </w:r>
            <w:r w:rsidRPr="00F27B7E">
              <w:rPr>
                <w:sz w:val="24"/>
                <w:szCs w:val="24"/>
                <w:lang w:val="ru-RU"/>
              </w:rPr>
              <w:t>»</w:t>
            </w:r>
            <w:r w:rsidRPr="00F27B7E">
              <w:rPr>
                <w:sz w:val="24"/>
                <w:szCs w:val="24"/>
              </w:rPr>
      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  <w:r w:rsidR="00B8658C" w:rsidRPr="00F27B7E">
              <w:rPr>
                <w:sz w:val="24"/>
                <w:szCs w:val="24"/>
              </w:rPr>
              <w:t>.</w:t>
            </w:r>
          </w:p>
        </w:tc>
      </w:tr>
      <w:tr w:rsidR="00B56C4B" w:rsidRPr="00FB1754" w14:paraId="165988D9" w14:textId="77777777" w:rsidTr="002B29F3">
        <w:trPr>
          <w:trHeight w:val="270"/>
        </w:trPr>
        <w:tc>
          <w:tcPr>
            <w:tcW w:w="426" w:type="dxa"/>
          </w:tcPr>
          <w:p w14:paraId="5E4F8B13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2552" w:type="dxa"/>
            <w:gridSpan w:val="2"/>
          </w:tcPr>
          <w:p w14:paraId="2C974B12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 xml:space="preserve">Володіння державною </w:t>
            </w:r>
          </w:p>
          <w:p w14:paraId="4327ABFC" w14:textId="5C82BE5C" w:rsidR="007D4409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мовою</w:t>
            </w:r>
          </w:p>
        </w:tc>
        <w:tc>
          <w:tcPr>
            <w:tcW w:w="6945" w:type="dxa"/>
          </w:tcPr>
          <w:p w14:paraId="63FDB019" w14:textId="77777777" w:rsidR="00B56C4B" w:rsidRPr="00CC6F66" w:rsidRDefault="00B56C4B" w:rsidP="0044020E">
            <w:pPr>
              <w:widowControl w:val="0"/>
              <w:rPr>
                <w:sz w:val="24"/>
                <w:szCs w:val="24"/>
              </w:rPr>
            </w:pPr>
            <w:r w:rsidRPr="00CC6F66">
              <w:rPr>
                <w:sz w:val="24"/>
                <w:szCs w:val="24"/>
              </w:rPr>
              <w:t>вільне володіння державною мовою</w:t>
            </w:r>
          </w:p>
        </w:tc>
      </w:tr>
      <w:tr w:rsidR="00B56C4B" w:rsidRPr="00FB1754" w14:paraId="201CF802" w14:textId="77777777" w:rsidTr="004C19D5">
        <w:tc>
          <w:tcPr>
            <w:tcW w:w="9923" w:type="dxa"/>
            <w:gridSpan w:val="4"/>
            <w:vAlign w:val="center"/>
          </w:tcPr>
          <w:p w14:paraId="03E3B78A" w14:textId="77777777" w:rsidR="00B56C4B" w:rsidRPr="008D2A80" w:rsidRDefault="00B56C4B" w:rsidP="0044020E">
            <w:pPr>
              <w:widowControl w:val="0"/>
              <w:jc w:val="center"/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Вимоги до компетентності</w:t>
            </w:r>
          </w:p>
          <w:p w14:paraId="5204E047" w14:textId="77B1C31B" w:rsidR="00B56C4B" w:rsidRPr="008D2A80" w:rsidRDefault="00B56C4B" w:rsidP="0044020E">
            <w:pPr>
              <w:widowControl w:val="0"/>
              <w:jc w:val="center"/>
              <w:rPr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  <w:t xml:space="preserve"> </w:t>
            </w:r>
          </w:p>
        </w:tc>
      </w:tr>
      <w:tr w:rsidR="00B56C4B" w:rsidRPr="00FB1754" w14:paraId="3FDCFBBB" w14:textId="77777777" w:rsidTr="002B29F3">
        <w:trPr>
          <w:trHeight w:val="198"/>
        </w:trPr>
        <w:tc>
          <w:tcPr>
            <w:tcW w:w="426" w:type="dxa"/>
          </w:tcPr>
          <w:p w14:paraId="12633401" w14:textId="77777777" w:rsidR="00B56C4B" w:rsidRPr="00FB1754" w:rsidRDefault="00B56C4B" w:rsidP="00B56C4B">
            <w:pPr>
              <w:rPr>
                <w:sz w:val="24"/>
              </w:rPr>
            </w:pPr>
          </w:p>
        </w:tc>
        <w:tc>
          <w:tcPr>
            <w:tcW w:w="2552" w:type="dxa"/>
            <w:gridSpan w:val="2"/>
          </w:tcPr>
          <w:p w14:paraId="51586723" w14:textId="09CA15E8" w:rsidR="00B56C4B" w:rsidRPr="005B1AB6" w:rsidRDefault="00B56C4B" w:rsidP="00B56C4B">
            <w:pPr>
              <w:rPr>
                <w:b/>
                <w:sz w:val="24"/>
              </w:rPr>
            </w:pPr>
            <w:r w:rsidRPr="00B41DF4">
              <w:rPr>
                <w:b/>
                <w:sz w:val="24"/>
              </w:rPr>
              <w:t>Вимога</w:t>
            </w:r>
          </w:p>
        </w:tc>
        <w:tc>
          <w:tcPr>
            <w:tcW w:w="6945" w:type="dxa"/>
          </w:tcPr>
          <w:p w14:paraId="47798FD8" w14:textId="77777777" w:rsidR="00B56C4B" w:rsidRPr="008D2A80" w:rsidRDefault="00B56C4B" w:rsidP="0044020E">
            <w:pPr>
              <w:widowControl w:val="0"/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Компоненти вимоги</w:t>
            </w:r>
          </w:p>
          <w:p w14:paraId="1D90320E" w14:textId="77777777" w:rsidR="00B56C4B" w:rsidRPr="008D2A80" w:rsidRDefault="00B56C4B" w:rsidP="0044020E">
            <w:pPr>
              <w:widowControl w:val="0"/>
              <w:rPr>
                <w:b/>
                <w:sz w:val="4"/>
                <w:szCs w:val="4"/>
              </w:rPr>
            </w:pPr>
          </w:p>
        </w:tc>
      </w:tr>
      <w:tr w:rsidR="00CD1460" w:rsidRPr="00FB1754" w14:paraId="2A660972" w14:textId="77777777" w:rsidTr="0044020E">
        <w:trPr>
          <w:trHeight w:val="1403"/>
        </w:trPr>
        <w:tc>
          <w:tcPr>
            <w:tcW w:w="426" w:type="dxa"/>
          </w:tcPr>
          <w:p w14:paraId="1BB21B10" w14:textId="77777777" w:rsidR="00CD1460" w:rsidRPr="005C0408" w:rsidRDefault="00CD1460" w:rsidP="00CD1460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t>1.</w:t>
            </w:r>
          </w:p>
        </w:tc>
        <w:tc>
          <w:tcPr>
            <w:tcW w:w="2552" w:type="dxa"/>
            <w:gridSpan w:val="2"/>
          </w:tcPr>
          <w:p w14:paraId="1AC4FE65" w14:textId="6F579F27" w:rsidR="00CD1460" w:rsidRPr="00CC6F66" w:rsidRDefault="00CD1460" w:rsidP="00CD1460">
            <w:pPr>
              <w:widowControl w:val="0"/>
              <w:jc w:val="left"/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</w:pPr>
            <w:r w:rsidRPr="00CC6F66">
              <w:rPr>
                <w:rFonts w:cs="Times New Roman"/>
                <w:sz w:val="24"/>
                <w:szCs w:val="24"/>
              </w:rPr>
              <w:t>Якісне виконання поставлених завдань</w:t>
            </w:r>
          </w:p>
        </w:tc>
        <w:tc>
          <w:tcPr>
            <w:tcW w:w="6945" w:type="dxa"/>
          </w:tcPr>
          <w:p w14:paraId="7821750D" w14:textId="3FD55F4F" w:rsidR="00CD1460" w:rsidRPr="00CC6F66" w:rsidRDefault="0044020E" w:rsidP="0044020E">
            <w:pPr>
              <w:pStyle w:val="a6"/>
              <w:widowControl w:val="0"/>
              <w:spacing w:after="0" w:line="240" w:lineRule="auto"/>
              <w:ind w:left="31"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CD1460" w:rsidRPr="00CC6F66">
              <w:rPr>
                <w:rFonts w:ascii="Times New Roman" w:hAnsi="Times New Roman" w:cs="Times New Roman"/>
                <w:sz w:val="24"/>
                <w:szCs w:val="24"/>
              </w:rPr>
              <w:t>чітке і точне формулювання мети, цілей і завдань службової діяльності;</w:t>
            </w:r>
          </w:p>
          <w:p w14:paraId="36947174" w14:textId="6A7BBE9F" w:rsidR="00CD1460" w:rsidRPr="0044020E" w:rsidRDefault="0044020E" w:rsidP="0044020E">
            <w:pPr>
              <w:widowControl w:val="0"/>
              <w:ind w:right="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 </w:t>
            </w:r>
            <w:r w:rsidR="00CD1460" w:rsidRPr="0044020E">
              <w:rPr>
                <w:rFonts w:cs="Times New Roman"/>
                <w:sz w:val="24"/>
                <w:szCs w:val="24"/>
              </w:rPr>
              <w:t>комплексний підхід до виконання завдань, виявлення ризиків;</w:t>
            </w:r>
          </w:p>
          <w:p w14:paraId="412B04DA" w14:textId="0435DDBE" w:rsidR="00CD1460" w:rsidRPr="0044020E" w:rsidRDefault="0044020E" w:rsidP="0044020E">
            <w:pPr>
              <w:widowControl w:val="0"/>
              <w:ind w:right="52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 </w:t>
            </w:r>
            <w:r w:rsidR="00CD1460" w:rsidRPr="0044020E">
              <w:rPr>
                <w:rFonts w:cs="Times New Roman"/>
                <w:sz w:val="24"/>
                <w:szCs w:val="24"/>
              </w:rPr>
              <w:t>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CD1460" w:rsidRPr="00FB1754" w14:paraId="7813303F" w14:textId="77777777" w:rsidTr="002B29F3">
        <w:trPr>
          <w:trHeight w:val="333"/>
        </w:trPr>
        <w:tc>
          <w:tcPr>
            <w:tcW w:w="426" w:type="dxa"/>
          </w:tcPr>
          <w:p w14:paraId="2785239F" w14:textId="77777777" w:rsidR="00CD1460" w:rsidRPr="005C0408" w:rsidRDefault="00CD1460" w:rsidP="00CD1460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t>2.</w:t>
            </w:r>
          </w:p>
        </w:tc>
        <w:tc>
          <w:tcPr>
            <w:tcW w:w="2552" w:type="dxa"/>
            <w:gridSpan w:val="2"/>
          </w:tcPr>
          <w:p w14:paraId="39B44FFF" w14:textId="79B22477" w:rsidR="00CD1460" w:rsidRPr="00CC6F66" w:rsidRDefault="00CD1460" w:rsidP="00CD1460">
            <w:pPr>
              <w:widowControl w:val="0"/>
              <w:jc w:val="left"/>
              <w:rPr>
                <w:rFonts w:cs="Times New Roman"/>
                <w:sz w:val="24"/>
                <w:szCs w:val="24"/>
                <w:highlight w:val="yellow"/>
              </w:rPr>
            </w:pPr>
            <w:r w:rsidRPr="00CC6F66">
              <w:rPr>
                <w:rFonts w:cs="Times New Roman"/>
                <w:sz w:val="24"/>
                <w:szCs w:val="24"/>
              </w:rPr>
              <w:t>Відповідальність</w:t>
            </w:r>
          </w:p>
        </w:tc>
        <w:tc>
          <w:tcPr>
            <w:tcW w:w="6945" w:type="dxa"/>
          </w:tcPr>
          <w:p w14:paraId="76A3362B" w14:textId="03C78F67" w:rsidR="00CD1460" w:rsidRPr="0044020E" w:rsidRDefault="0044020E" w:rsidP="0044020E">
            <w:pPr>
              <w:widowControl w:val="0"/>
              <w:rPr>
                <w:rFonts w:eastAsia="Tahoma" w:cs="Times New Roman"/>
                <w:sz w:val="24"/>
                <w:szCs w:val="24"/>
              </w:rPr>
            </w:pPr>
            <w:r>
              <w:rPr>
                <w:rFonts w:eastAsia="Tahoma" w:cs="Times New Roman"/>
                <w:sz w:val="24"/>
                <w:szCs w:val="24"/>
              </w:rPr>
              <w:t>- </w:t>
            </w:r>
            <w:r w:rsidR="00CD1460" w:rsidRPr="0044020E">
              <w:rPr>
                <w:rFonts w:eastAsia="Tahoma" w:cs="Times New Roman"/>
                <w:sz w:val="24"/>
                <w:szCs w:val="24"/>
              </w:rPr>
              <w:t>усвідомлення важливості якісного  виконання своїх посадових обов’язків з дотриманням строків;</w:t>
            </w:r>
          </w:p>
          <w:p w14:paraId="6E620B40" w14:textId="0E9759EB" w:rsidR="00CD1460" w:rsidRPr="0044020E" w:rsidRDefault="0044020E" w:rsidP="0044020E">
            <w:pPr>
              <w:widowControl w:val="0"/>
              <w:rPr>
                <w:rFonts w:eastAsia="Tahoma" w:cs="Times New Roman"/>
                <w:sz w:val="24"/>
                <w:szCs w:val="24"/>
              </w:rPr>
            </w:pPr>
            <w:r>
              <w:rPr>
                <w:rFonts w:eastAsia="Tahoma" w:cs="Times New Roman"/>
                <w:sz w:val="24"/>
                <w:szCs w:val="24"/>
              </w:rPr>
              <w:t>- </w:t>
            </w:r>
            <w:r w:rsidR="00CD1460" w:rsidRPr="0044020E">
              <w:rPr>
                <w:rFonts w:eastAsia="Tahoma" w:cs="Times New Roman"/>
                <w:sz w:val="24"/>
                <w:szCs w:val="24"/>
              </w:rPr>
              <w:t>усвідомлення рівня відповідальності під час підготовки і прийняття рішень;</w:t>
            </w:r>
          </w:p>
          <w:p w14:paraId="028D0C08" w14:textId="1F763586" w:rsidR="00CD1460" w:rsidRPr="0044020E" w:rsidRDefault="0044020E" w:rsidP="0044020E">
            <w:pPr>
              <w:widowControl w:val="0"/>
              <w:rPr>
                <w:rFonts w:eastAsia="Tahoma" w:cs="Times New Roman"/>
                <w:sz w:val="24"/>
                <w:szCs w:val="24"/>
              </w:rPr>
            </w:pPr>
            <w:r>
              <w:rPr>
                <w:rFonts w:eastAsia="Tahoma" w:cs="Times New Roman"/>
                <w:sz w:val="24"/>
                <w:szCs w:val="24"/>
              </w:rPr>
              <w:t>- </w:t>
            </w:r>
            <w:r w:rsidR="00CD1460" w:rsidRPr="0044020E">
              <w:rPr>
                <w:rFonts w:eastAsia="Tahoma" w:cs="Times New Roman"/>
                <w:sz w:val="24"/>
                <w:szCs w:val="24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CD1460" w:rsidRPr="00FB1754" w14:paraId="40767C09" w14:textId="77777777" w:rsidTr="00CD1460">
        <w:trPr>
          <w:trHeight w:val="1238"/>
        </w:trPr>
        <w:tc>
          <w:tcPr>
            <w:tcW w:w="426" w:type="dxa"/>
          </w:tcPr>
          <w:p w14:paraId="132EDA93" w14:textId="77777777" w:rsidR="00CD1460" w:rsidRPr="005C0408" w:rsidRDefault="00CD1460" w:rsidP="008428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5C0408">
              <w:rPr>
                <w:sz w:val="24"/>
              </w:rPr>
              <w:t>.</w:t>
            </w:r>
          </w:p>
        </w:tc>
        <w:tc>
          <w:tcPr>
            <w:tcW w:w="2552" w:type="dxa"/>
            <w:gridSpan w:val="2"/>
          </w:tcPr>
          <w:p w14:paraId="0784035C" w14:textId="1CBDFA02" w:rsidR="00CD1460" w:rsidRPr="00CC6F66" w:rsidRDefault="00CD1460" w:rsidP="00842856">
            <w:pPr>
              <w:widowControl w:val="0"/>
              <w:jc w:val="left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CC6F66">
              <w:rPr>
                <w:rFonts w:cs="Times New Roman"/>
                <w:sz w:val="24"/>
                <w:szCs w:val="24"/>
              </w:rPr>
              <w:t>Командна робота та взаємодія</w:t>
            </w:r>
          </w:p>
        </w:tc>
        <w:tc>
          <w:tcPr>
            <w:tcW w:w="6945" w:type="dxa"/>
          </w:tcPr>
          <w:p w14:paraId="365D9CFE" w14:textId="35BDF8D4" w:rsidR="00CD1460" w:rsidRPr="00CC6F66" w:rsidRDefault="0044020E" w:rsidP="0044020E">
            <w:pPr>
              <w:pStyle w:val="a6"/>
              <w:widowControl w:val="0"/>
              <w:tabs>
                <w:tab w:val="left" w:pos="241"/>
              </w:tabs>
              <w:spacing w:after="0" w:line="240" w:lineRule="auto"/>
              <w:ind w:left="36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 </w:t>
            </w:r>
            <w:r w:rsidR="00CD1460" w:rsidRPr="00CC6F66">
              <w:rPr>
                <w:rFonts w:ascii="Times New Roman" w:eastAsia="Arial Unicode MS" w:hAnsi="Times New Roman" w:cs="Times New Roman"/>
                <w:sz w:val="24"/>
                <w:szCs w:val="24"/>
              </w:rPr>
              <w:t>розуміння ваги свого внеску у загальний результат;</w:t>
            </w:r>
          </w:p>
          <w:p w14:paraId="405C979D" w14:textId="3CC855B2" w:rsidR="00CD1460" w:rsidRPr="00CC6F66" w:rsidRDefault="0044020E" w:rsidP="0044020E">
            <w:pPr>
              <w:pStyle w:val="a6"/>
              <w:widowControl w:val="0"/>
              <w:tabs>
                <w:tab w:val="left" w:pos="241"/>
              </w:tabs>
              <w:spacing w:after="0" w:line="240" w:lineRule="auto"/>
              <w:ind w:left="36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 </w:t>
            </w:r>
            <w:r w:rsidR="00CD1460" w:rsidRPr="00CC6F66">
              <w:rPr>
                <w:rFonts w:ascii="Times New Roman" w:eastAsia="Arial Unicode MS" w:hAnsi="Times New Roman" w:cs="Times New Roman"/>
                <w:sz w:val="24"/>
                <w:szCs w:val="24"/>
              </w:rPr>
              <w:t>орієнтація на командний результат;</w:t>
            </w:r>
          </w:p>
          <w:p w14:paraId="12E03DD5" w14:textId="069E7260" w:rsidR="00CC6F66" w:rsidRPr="00CC6F66" w:rsidRDefault="0044020E" w:rsidP="0044020E">
            <w:pPr>
              <w:pStyle w:val="a6"/>
              <w:widowControl w:val="0"/>
              <w:tabs>
                <w:tab w:val="left" w:pos="241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 </w:t>
            </w:r>
            <w:r w:rsidR="00CD1460" w:rsidRPr="00CC6F66">
              <w:rPr>
                <w:rFonts w:ascii="Times New Roman" w:eastAsia="Arial Unicode MS" w:hAnsi="Times New Roman" w:cs="Times New Roman"/>
                <w:sz w:val="24"/>
                <w:szCs w:val="24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14:paraId="33B1A0E7" w14:textId="7BE95216" w:rsidR="00CD1460" w:rsidRPr="0044020E" w:rsidRDefault="0044020E" w:rsidP="0044020E">
            <w:pPr>
              <w:widowControl w:val="0"/>
              <w:tabs>
                <w:tab w:val="left" w:pos="241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  <w:lang w:val="en-US"/>
              </w:rPr>
              <w:t>- </w:t>
            </w:r>
            <w:r w:rsidR="00CD1460" w:rsidRPr="0044020E">
              <w:rPr>
                <w:rFonts w:eastAsia="Arial Unicode MS" w:cs="Times New Roman"/>
                <w:sz w:val="24"/>
                <w:szCs w:val="24"/>
              </w:rPr>
              <w:t>відкритість в обміні інформацією.</w:t>
            </w:r>
          </w:p>
        </w:tc>
      </w:tr>
      <w:tr w:rsidR="00B56C4B" w:rsidRPr="00FB1754" w14:paraId="6CFDFB8D" w14:textId="77777777" w:rsidTr="004C19D5">
        <w:tc>
          <w:tcPr>
            <w:tcW w:w="9923" w:type="dxa"/>
            <w:gridSpan w:val="4"/>
          </w:tcPr>
          <w:p w14:paraId="1C812F00" w14:textId="77777777" w:rsidR="00B56C4B" w:rsidRPr="00102CC7" w:rsidRDefault="00B56C4B" w:rsidP="0044020E">
            <w:pPr>
              <w:widowControl w:val="0"/>
              <w:jc w:val="center"/>
              <w:rPr>
                <w:b/>
                <w:sz w:val="4"/>
                <w:szCs w:val="4"/>
                <w:highlight w:val="yellow"/>
              </w:rPr>
            </w:pPr>
          </w:p>
          <w:p w14:paraId="22F4E2A7" w14:textId="77777777" w:rsidR="00B56C4B" w:rsidRPr="00102CC7" w:rsidRDefault="00B56C4B" w:rsidP="0044020E">
            <w:pPr>
              <w:widowControl w:val="0"/>
              <w:jc w:val="center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Професійні знання</w:t>
            </w:r>
          </w:p>
          <w:p w14:paraId="27A7D75E" w14:textId="77777777" w:rsidR="00B56C4B" w:rsidRPr="00102CC7" w:rsidRDefault="00B56C4B" w:rsidP="0044020E">
            <w:pPr>
              <w:widowControl w:val="0"/>
              <w:rPr>
                <w:sz w:val="4"/>
                <w:szCs w:val="4"/>
                <w:highlight w:val="yellow"/>
              </w:rPr>
            </w:pPr>
          </w:p>
        </w:tc>
      </w:tr>
      <w:tr w:rsidR="00B56C4B" w:rsidRPr="00FB1754" w14:paraId="4D0E0100" w14:textId="77777777" w:rsidTr="002B29F3">
        <w:trPr>
          <w:trHeight w:val="120"/>
        </w:trPr>
        <w:tc>
          <w:tcPr>
            <w:tcW w:w="426" w:type="dxa"/>
          </w:tcPr>
          <w:p w14:paraId="66A83839" w14:textId="77777777" w:rsidR="00B56C4B" w:rsidRPr="00FB1754" w:rsidRDefault="00B56C4B" w:rsidP="00842856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  <w:p w14:paraId="32D790C6" w14:textId="77777777" w:rsidR="00B56C4B" w:rsidRPr="00FB1754" w:rsidRDefault="00B56C4B" w:rsidP="00842856">
            <w:pPr>
              <w:widowControl w:val="0"/>
              <w:rPr>
                <w:b/>
                <w:sz w:val="12"/>
                <w:szCs w:val="12"/>
              </w:rPr>
            </w:pPr>
          </w:p>
        </w:tc>
        <w:tc>
          <w:tcPr>
            <w:tcW w:w="2552" w:type="dxa"/>
            <w:gridSpan w:val="2"/>
          </w:tcPr>
          <w:p w14:paraId="12D9C43D" w14:textId="77777777" w:rsidR="00B56C4B" w:rsidRPr="00102CC7" w:rsidRDefault="00B56C4B" w:rsidP="00842856">
            <w:pPr>
              <w:widowControl w:val="0"/>
              <w:jc w:val="left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Вимога</w:t>
            </w:r>
          </w:p>
        </w:tc>
        <w:tc>
          <w:tcPr>
            <w:tcW w:w="6945" w:type="dxa"/>
          </w:tcPr>
          <w:p w14:paraId="004E0B23" w14:textId="5FF702A1" w:rsidR="00B56C4B" w:rsidRPr="00102CC7" w:rsidRDefault="00B56C4B" w:rsidP="0044020E">
            <w:pPr>
              <w:widowControl w:val="0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Компоненти вимоги</w:t>
            </w:r>
          </w:p>
        </w:tc>
      </w:tr>
      <w:tr w:rsidR="001302A8" w:rsidRPr="00FB1754" w14:paraId="18ED1A84" w14:textId="77777777" w:rsidTr="002B29F3">
        <w:trPr>
          <w:trHeight w:val="1440"/>
        </w:trPr>
        <w:tc>
          <w:tcPr>
            <w:tcW w:w="426" w:type="dxa"/>
          </w:tcPr>
          <w:p w14:paraId="2D493B30" w14:textId="77777777" w:rsidR="001302A8" w:rsidRPr="00FB1754" w:rsidRDefault="001302A8" w:rsidP="00842856">
            <w:pPr>
              <w:widowControl w:val="0"/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52" w:type="dxa"/>
            <w:gridSpan w:val="2"/>
          </w:tcPr>
          <w:p w14:paraId="6D706EA9" w14:textId="1FFD5599" w:rsidR="001302A8" w:rsidRPr="0059050F" w:rsidRDefault="001302A8" w:rsidP="00842856">
            <w:pPr>
              <w:widowControl w:val="0"/>
              <w:jc w:val="left"/>
              <w:rPr>
                <w:sz w:val="24"/>
                <w:highlight w:val="yellow"/>
              </w:rPr>
            </w:pPr>
            <w:r w:rsidRPr="00FB1754">
              <w:rPr>
                <w:sz w:val="24"/>
              </w:rPr>
              <w:t>Знання законодавства</w:t>
            </w:r>
          </w:p>
        </w:tc>
        <w:tc>
          <w:tcPr>
            <w:tcW w:w="6945" w:type="dxa"/>
          </w:tcPr>
          <w:p w14:paraId="55665EE4" w14:textId="77777777" w:rsidR="001302A8" w:rsidRPr="00BC7791" w:rsidRDefault="001302A8" w:rsidP="0044020E">
            <w:pPr>
              <w:widowControl w:val="0"/>
              <w:rPr>
                <w:sz w:val="24"/>
                <w:szCs w:val="24"/>
                <w:u w:val="single"/>
              </w:rPr>
            </w:pPr>
            <w:r w:rsidRPr="00BC7791">
              <w:rPr>
                <w:sz w:val="24"/>
                <w:szCs w:val="24"/>
                <w:u w:val="single"/>
              </w:rPr>
              <w:t>Знання:</w:t>
            </w:r>
          </w:p>
          <w:p w14:paraId="53533442" w14:textId="77777777" w:rsidR="001302A8" w:rsidRPr="005C0408" w:rsidRDefault="001302A8" w:rsidP="0044020E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5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8">
              <w:rPr>
                <w:rFonts w:ascii="Times New Roman" w:hAnsi="Times New Roman" w:cs="Times New Roman"/>
                <w:sz w:val="24"/>
                <w:szCs w:val="24"/>
              </w:rPr>
              <w:t>Конституції України;</w:t>
            </w:r>
          </w:p>
          <w:p w14:paraId="5E51902E" w14:textId="77777777" w:rsidR="00BC5ED9" w:rsidRPr="00BC5ED9" w:rsidRDefault="001302A8" w:rsidP="0044020E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4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8">
              <w:rPr>
                <w:rFonts w:ascii="Times New Roman" w:hAnsi="Times New Roman" w:cs="Times New Roman"/>
                <w:sz w:val="24"/>
              </w:rPr>
              <w:t>Закону України «Про державну службу»;</w:t>
            </w:r>
          </w:p>
          <w:p w14:paraId="399EB75C" w14:textId="1255BF96" w:rsidR="001302A8" w:rsidRPr="00BC5ED9" w:rsidRDefault="001302A8" w:rsidP="0044020E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4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</w:rPr>
              <w:t>Закону України «Про запобігання корупції» та іншого законодавства</w:t>
            </w:r>
            <w:r w:rsidR="00DC3665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302A8" w:rsidRPr="00FB1754" w14:paraId="7F952465" w14:textId="77777777" w:rsidTr="002B29F3">
        <w:trPr>
          <w:trHeight w:val="132"/>
        </w:trPr>
        <w:tc>
          <w:tcPr>
            <w:tcW w:w="426" w:type="dxa"/>
          </w:tcPr>
          <w:p w14:paraId="5B1F087A" w14:textId="77777777" w:rsidR="001302A8" w:rsidRPr="00FB1754" w:rsidRDefault="001302A8" w:rsidP="008428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2" w:type="dxa"/>
            <w:gridSpan w:val="2"/>
          </w:tcPr>
          <w:p w14:paraId="20B0A089" w14:textId="77777777" w:rsidR="001302A8" w:rsidRDefault="001302A8" w:rsidP="00842856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Знання законодавства </w:t>
            </w:r>
          </w:p>
          <w:p w14:paraId="02C480C6" w14:textId="330B7D57" w:rsidR="001302A8" w:rsidRPr="00842856" w:rsidRDefault="001302A8" w:rsidP="00842856">
            <w:pPr>
              <w:widowControl w:val="0"/>
              <w:jc w:val="left"/>
              <w:rPr>
                <w:sz w:val="24"/>
                <w:highlight w:val="yellow"/>
                <w:lang w:val="en-US"/>
              </w:rPr>
            </w:pPr>
            <w:r>
              <w:rPr>
                <w:sz w:val="24"/>
              </w:rPr>
              <w:t>у сфері</w:t>
            </w:r>
          </w:p>
        </w:tc>
        <w:tc>
          <w:tcPr>
            <w:tcW w:w="6945" w:type="dxa"/>
          </w:tcPr>
          <w:p w14:paraId="1A43E898" w14:textId="77777777" w:rsidR="001302A8" w:rsidRPr="00BC7791" w:rsidRDefault="001302A8" w:rsidP="0044020E">
            <w:pPr>
              <w:widowControl w:val="0"/>
              <w:tabs>
                <w:tab w:val="left" w:pos="412"/>
              </w:tabs>
              <w:ind w:left="95" w:right="120" w:hanging="95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BC7791">
              <w:rPr>
                <w:rFonts w:eastAsia="Times New Roman" w:cs="Times New Roman"/>
                <w:sz w:val="24"/>
                <w:szCs w:val="24"/>
                <w:u w:val="single"/>
              </w:rPr>
              <w:t>Знання:</w:t>
            </w:r>
          </w:p>
          <w:p w14:paraId="3A3EC817" w14:textId="77777777" w:rsidR="001302A8" w:rsidRPr="00F93807" w:rsidRDefault="001302A8" w:rsidP="0044020E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938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Закону України «Про прокуратуру»;</w:t>
            </w:r>
          </w:p>
          <w:p w14:paraId="158EEF07" w14:textId="77777777" w:rsidR="001302A8" w:rsidRPr="00F93807" w:rsidRDefault="001302A8" w:rsidP="0044020E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 України «Про доступ до публічної інформації»;</w:t>
            </w:r>
          </w:p>
          <w:p w14:paraId="27749CC3" w14:textId="77777777" w:rsidR="001302A8" w:rsidRPr="00BC5ED9" w:rsidRDefault="001302A8" w:rsidP="0044020E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 України «Про звернення громадян»;</w:t>
            </w:r>
          </w:p>
          <w:p w14:paraId="3FAEA7AD" w14:textId="77777777" w:rsidR="001302A8" w:rsidRPr="00BC5ED9" w:rsidRDefault="001302A8" w:rsidP="0044020E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Закону України «Про статус народного депутата України»;</w:t>
            </w:r>
          </w:p>
          <w:p w14:paraId="0CC8ECF7" w14:textId="1F150C98" w:rsidR="00BC5ED9" w:rsidRDefault="00BC5ED9" w:rsidP="0044020E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Тимчасової інструкції з діловодства в органах прокуратури України, затвердженої наказом Генеральної прокуратури України від 12.02.2019 № 27</w:t>
            </w:r>
            <w:r w:rsidR="002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(зі змінами);</w:t>
            </w:r>
          </w:p>
          <w:p w14:paraId="0590E0BD" w14:textId="1654632B" w:rsidR="00842856" w:rsidRDefault="00842856" w:rsidP="0044020E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Укра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42856">
              <w:rPr>
                <w:rFonts w:ascii="Times New Roman" w:hAnsi="Times New Roman" w:cs="Times New Roman"/>
                <w:sz w:val="24"/>
                <w:szCs w:val="24"/>
              </w:rPr>
              <w:t>Про публічні закупівлі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331EF" w:rsidRPr="00BC5E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6D1AC0" w14:textId="67B58E7E" w:rsidR="00DC3665" w:rsidRDefault="00DC3665" w:rsidP="0044020E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65">
              <w:rPr>
                <w:rFonts w:ascii="Times New Roman" w:hAnsi="Times New Roman" w:cs="Times New Roman"/>
                <w:sz w:val="24"/>
                <w:szCs w:val="24"/>
              </w:rPr>
              <w:t>Кодекс цивільного захисту України, законодавчі та нормативні акти з питань цивільного захисту</w:t>
            </w: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28622C" w14:textId="44FDA8F7" w:rsidR="00CB495D" w:rsidRPr="00CB495D" w:rsidRDefault="00CB495D" w:rsidP="0044020E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95D">
              <w:rPr>
                <w:rFonts w:ascii="Times New Roman" w:hAnsi="Times New Roman" w:cs="Times New Roman"/>
                <w:sz w:val="24"/>
                <w:szCs w:val="24"/>
              </w:rPr>
              <w:t>Постанов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B495D">
              <w:rPr>
                <w:rFonts w:ascii="Times New Roman" w:hAnsi="Times New Roman" w:cs="Times New Roman"/>
                <w:sz w:val="24"/>
                <w:szCs w:val="24"/>
              </w:rPr>
              <w:t xml:space="preserve"> КМУ від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CB495D">
              <w:rPr>
                <w:rFonts w:ascii="Times New Roman" w:hAnsi="Times New Roman" w:cs="Times New Roman"/>
                <w:sz w:val="24"/>
                <w:szCs w:val="24"/>
              </w:rPr>
              <w:t xml:space="preserve">2013 № 444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495D">
              <w:rPr>
                <w:rFonts w:ascii="Times New Roman" w:hAnsi="Times New Roman" w:cs="Times New Roman"/>
                <w:sz w:val="24"/>
                <w:szCs w:val="24"/>
              </w:rPr>
              <w:t>Про затвердження Порядку здійснення навчання населення діям у надзвичайних ситуаціях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B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247E1E6" w14:textId="35115FF0" w:rsidR="00CB495D" w:rsidRDefault="00CB495D" w:rsidP="0044020E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95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Постанову КМУ від 23.10.2013 № 819 «Про затвердження Порядку проведення навчання керівного складу та фахівців, </w:t>
            </w:r>
            <w:r w:rsidRPr="00CB4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діяльність яких пов’язана з організацією і здійсненням заходів з питань цивільного захисту»;</w:t>
            </w:r>
          </w:p>
          <w:p w14:paraId="042E8E4A" w14:textId="757D1F59" w:rsidR="00CB495D" w:rsidRPr="00BC5ED9" w:rsidRDefault="00CB495D" w:rsidP="0044020E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95D">
              <w:rPr>
                <w:rFonts w:ascii="Times New Roman" w:hAnsi="Times New Roman" w:cs="Times New Roman"/>
                <w:sz w:val="24"/>
                <w:szCs w:val="24"/>
              </w:rPr>
              <w:t>Постанов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CB495D">
              <w:rPr>
                <w:rFonts w:ascii="Times New Roman" w:hAnsi="Times New Roman" w:cs="Times New Roman"/>
                <w:sz w:val="24"/>
                <w:szCs w:val="24"/>
              </w:rPr>
              <w:t xml:space="preserve"> КМУ від 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</w:t>
            </w:r>
            <w:r w:rsidRPr="00CB495D">
              <w:rPr>
                <w:rFonts w:ascii="Times New Roman" w:hAnsi="Times New Roman" w:cs="Times New Roman"/>
                <w:sz w:val="24"/>
                <w:szCs w:val="24"/>
              </w:rPr>
              <w:t xml:space="preserve">2014 № 11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CB495D">
              <w:rPr>
                <w:rFonts w:ascii="Times New Roman" w:hAnsi="Times New Roman" w:cs="Times New Roman"/>
                <w:sz w:val="24"/>
                <w:szCs w:val="24"/>
              </w:rPr>
              <w:t>Про затвердження Положення про єдину державну систему цивільного захисту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CB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0F6A6443" w14:textId="417AF808" w:rsidR="001302A8" w:rsidRPr="005D7C9E" w:rsidRDefault="00BC5ED9" w:rsidP="0044020E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C0">
              <w:rPr>
                <w:rFonts w:ascii="Times New Roman" w:hAnsi="Times New Roman" w:cs="Times New Roman"/>
                <w:sz w:val="24"/>
                <w:szCs w:val="24"/>
              </w:rPr>
              <w:t>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                         в органах прокуратури України, затвердженої наказом Генеральної прокуратури України від 27.09.2022 № 199</w:t>
            </w:r>
            <w:r w:rsidR="005D7C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C2F" w:rsidRPr="00FB1754" w14:paraId="5A41A204" w14:textId="77777777" w:rsidTr="002B29F3">
        <w:trPr>
          <w:trHeight w:val="363"/>
        </w:trPr>
        <w:tc>
          <w:tcPr>
            <w:tcW w:w="426" w:type="dxa"/>
          </w:tcPr>
          <w:p w14:paraId="71B39C8A" w14:textId="1D6B90B7" w:rsidR="00760C2F" w:rsidRDefault="00760C2F" w:rsidP="008428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552" w:type="dxa"/>
            <w:gridSpan w:val="2"/>
          </w:tcPr>
          <w:p w14:paraId="12894133" w14:textId="5EA47A11" w:rsidR="00760C2F" w:rsidRPr="00CD1460" w:rsidRDefault="00760C2F" w:rsidP="00842856">
            <w:pPr>
              <w:widowControl w:val="0"/>
              <w:jc w:val="left"/>
              <w:rPr>
                <w:sz w:val="24"/>
              </w:rPr>
            </w:pPr>
            <w:r w:rsidRPr="00CD1460">
              <w:rPr>
                <w:rFonts w:cs="Times New Roman"/>
                <w:bCs/>
                <w:sz w:val="24"/>
                <w:szCs w:val="24"/>
              </w:rPr>
              <w:t>Практичні знання</w:t>
            </w:r>
          </w:p>
        </w:tc>
        <w:tc>
          <w:tcPr>
            <w:tcW w:w="6945" w:type="dxa"/>
          </w:tcPr>
          <w:p w14:paraId="36970257" w14:textId="2B380498" w:rsidR="00760C2F" w:rsidRPr="00842856" w:rsidRDefault="00760C2F" w:rsidP="00842856">
            <w:pPr>
              <w:widowControl w:val="0"/>
              <w:tabs>
                <w:tab w:val="left" w:pos="412"/>
              </w:tabs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</w:pPr>
            <w:r w:rsidRPr="00B8658C">
              <w:rPr>
                <w:rFonts w:eastAsia="Times New Roman" w:cs="Times New Roman"/>
                <w:sz w:val="24"/>
                <w:szCs w:val="24"/>
                <w:lang w:eastAsia="ru-RU"/>
              </w:rPr>
              <w:t>Знання особливостей роботи з документами в інформаційних системах електронного документообігу</w:t>
            </w:r>
            <w:r w:rsidR="00842856" w:rsidRPr="00B8658C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, на </w:t>
            </w:r>
            <w:proofErr w:type="spellStart"/>
            <w:r w:rsidR="00842856" w:rsidRPr="00B8658C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майданчику</w:t>
            </w:r>
            <w:proofErr w:type="spellEnd"/>
            <w:r w:rsidR="00842856" w:rsidRPr="00B8658C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42856" w:rsidRPr="00B8658C">
              <w:rPr>
                <w:rFonts w:eastAsia="Times New Roman" w:cs="Times New Roman"/>
                <w:sz w:val="24"/>
                <w:szCs w:val="24"/>
                <w:lang w:val="ru-RU" w:eastAsia="ru-RU"/>
              </w:rPr>
              <w:t>державних</w:t>
            </w:r>
            <w:proofErr w:type="spellEnd"/>
            <w:r w:rsidR="00842856" w:rsidRPr="00B8658C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42856" w:rsidRPr="00B8658C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публічних</w:t>
            </w:r>
            <w:proofErr w:type="spellEnd"/>
            <w:r w:rsidR="00842856" w:rsidRPr="00B8658C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закупівель </w:t>
            </w:r>
            <w:proofErr w:type="spellStart"/>
            <w:r w:rsidR="00842856" w:rsidRPr="00B8658C">
              <w:rPr>
                <w:rFonts w:eastAsia="Times New Roman" w:cs="Times New Roman"/>
                <w:sz w:val="24"/>
                <w:szCs w:val="24"/>
                <w:lang w:val="ru-RU" w:eastAsia="ru-RU"/>
              </w:rPr>
              <w:t>Prozorro</w:t>
            </w:r>
            <w:proofErr w:type="spellEnd"/>
            <w:r w:rsidR="00842856" w:rsidRPr="00B8658C">
              <w:rPr>
                <w:rFonts w:eastAsia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</w:tbl>
    <w:p w14:paraId="17A23C07" w14:textId="77777777" w:rsidR="00415BAD" w:rsidRPr="00CE0C8F" w:rsidRDefault="00415BAD" w:rsidP="00842856">
      <w:pPr>
        <w:widowControl w:val="0"/>
        <w:rPr>
          <w:sz w:val="2"/>
          <w:szCs w:val="2"/>
        </w:rPr>
      </w:pPr>
    </w:p>
    <w:sectPr w:rsidR="00415BAD" w:rsidRPr="00CE0C8F" w:rsidSect="002B29F3">
      <w:pgSz w:w="11906" w:h="16838" w:code="9"/>
      <w:pgMar w:top="1021" w:right="567" w:bottom="1021" w:left="1701" w:header="45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DE3B2" w14:textId="77777777" w:rsidR="002B6A8F" w:rsidRDefault="002B6A8F">
      <w:r>
        <w:separator/>
      </w:r>
    </w:p>
  </w:endnote>
  <w:endnote w:type="continuationSeparator" w:id="0">
    <w:p w14:paraId="3E0116AB" w14:textId="77777777" w:rsidR="002B6A8F" w:rsidRDefault="002B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73B81" w14:textId="77777777" w:rsidR="002B6A8F" w:rsidRDefault="002B6A8F">
      <w:r>
        <w:separator/>
      </w:r>
    </w:p>
  </w:footnote>
  <w:footnote w:type="continuationSeparator" w:id="0">
    <w:p w14:paraId="532C5BD2" w14:textId="77777777" w:rsidR="002B6A8F" w:rsidRDefault="002B6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04"/>
    <w:multiLevelType w:val="multilevel"/>
    <w:tmpl w:val="C7908A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F7684D"/>
    <w:multiLevelType w:val="hybridMultilevel"/>
    <w:tmpl w:val="051C80A2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35EEA"/>
    <w:multiLevelType w:val="hybridMultilevel"/>
    <w:tmpl w:val="1DFCA474"/>
    <w:lvl w:ilvl="0" w:tplc="C39A773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7E336BB"/>
    <w:multiLevelType w:val="hybridMultilevel"/>
    <w:tmpl w:val="C6EE3114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A3677"/>
    <w:multiLevelType w:val="hybridMultilevel"/>
    <w:tmpl w:val="6C325A0A"/>
    <w:lvl w:ilvl="0" w:tplc="1D64F87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A4D1B"/>
    <w:multiLevelType w:val="hybridMultilevel"/>
    <w:tmpl w:val="81B6C846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7547E"/>
    <w:multiLevelType w:val="hybridMultilevel"/>
    <w:tmpl w:val="445E2BF6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409C8"/>
    <w:multiLevelType w:val="hybridMultilevel"/>
    <w:tmpl w:val="CDB2A814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E3DD3"/>
    <w:multiLevelType w:val="multilevel"/>
    <w:tmpl w:val="0D7CBE9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8CE5361"/>
    <w:multiLevelType w:val="hybridMultilevel"/>
    <w:tmpl w:val="E0C0BC8A"/>
    <w:lvl w:ilvl="0" w:tplc="C39A77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 w15:restartNumberingAfterBreak="0">
    <w:nsid w:val="1AB66CC7"/>
    <w:multiLevelType w:val="hybridMultilevel"/>
    <w:tmpl w:val="C318F8F6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F7AEC"/>
    <w:multiLevelType w:val="hybridMultilevel"/>
    <w:tmpl w:val="2A36B9B6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D0A82"/>
    <w:multiLevelType w:val="hybridMultilevel"/>
    <w:tmpl w:val="78B2A184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3" w15:restartNumberingAfterBreak="0">
    <w:nsid w:val="23CF7064"/>
    <w:multiLevelType w:val="multilevel"/>
    <w:tmpl w:val="EB3E5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4B16069"/>
    <w:multiLevelType w:val="multilevel"/>
    <w:tmpl w:val="BCA0BC0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A66360D"/>
    <w:multiLevelType w:val="multilevel"/>
    <w:tmpl w:val="8742909A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F7C6E10"/>
    <w:multiLevelType w:val="hybridMultilevel"/>
    <w:tmpl w:val="632E54CC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B6F5E"/>
    <w:multiLevelType w:val="hybridMultilevel"/>
    <w:tmpl w:val="96908692"/>
    <w:lvl w:ilvl="0" w:tplc="100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353032DD"/>
    <w:multiLevelType w:val="hybridMultilevel"/>
    <w:tmpl w:val="0BA29E8A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CA6C8E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8D7C30"/>
    <w:multiLevelType w:val="hybridMultilevel"/>
    <w:tmpl w:val="29308110"/>
    <w:lvl w:ilvl="0" w:tplc="ACA6C8E8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0" w15:restartNumberingAfterBreak="0">
    <w:nsid w:val="3ADC5A86"/>
    <w:multiLevelType w:val="hybridMultilevel"/>
    <w:tmpl w:val="2DDE1112"/>
    <w:lvl w:ilvl="0" w:tplc="C39A77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 w15:restartNumberingAfterBreak="0">
    <w:nsid w:val="3BA20376"/>
    <w:multiLevelType w:val="multilevel"/>
    <w:tmpl w:val="EC0E63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BFA335B"/>
    <w:multiLevelType w:val="hybridMultilevel"/>
    <w:tmpl w:val="D8A6D80C"/>
    <w:lvl w:ilvl="0" w:tplc="E9669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6B5DDE"/>
    <w:multiLevelType w:val="hybridMultilevel"/>
    <w:tmpl w:val="B48A842C"/>
    <w:lvl w:ilvl="0" w:tplc="246CABD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BC2D54"/>
    <w:multiLevelType w:val="hybridMultilevel"/>
    <w:tmpl w:val="7B74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85AA9"/>
    <w:multiLevelType w:val="hybridMultilevel"/>
    <w:tmpl w:val="80DCD9B2"/>
    <w:lvl w:ilvl="0" w:tplc="E96697AA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6" w15:restartNumberingAfterBreak="0">
    <w:nsid w:val="52181E34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3496DFE"/>
    <w:multiLevelType w:val="hybridMultilevel"/>
    <w:tmpl w:val="DD92EEF4"/>
    <w:lvl w:ilvl="0" w:tplc="C39A77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8" w15:restartNumberingAfterBreak="0">
    <w:nsid w:val="588B0BCA"/>
    <w:multiLevelType w:val="hybridMultilevel"/>
    <w:tmpl w:val="E5F21A30"/>
    <w:lvl w:ilvl="0" w:tplc="C39A77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9" w15:restartNumberingAfterBreak="0">
    <w:nsid w:val="5C7C3EB8"/>
    <w:multiLevelType w:val="multilevel"/>
    <w:tmpl w:val="D7FEBEC0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D166BDD"/>
    <w:multiLevelType w:val="hybridMultilevel"/>
    <w:tmpl w:val="B4ACD88C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C185A"/>
    <w:multiLevelType w:val="hybridMultilevel"/>
    <w:tmpl w:val="C2EA0F2E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4C1A6A"/>
    <w:multiLevelType w:val="multilevel"/>
    <w:tmpl w:val="22080D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A6E4C54"/>
    <w:multiLevelType w:val="multilevel"/>
    <w:tmpl w:val="CE089A7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F8041D2"/>
    <w:multiLevelType w:val="hybridMultilevel"/>
    <w:tmpl w:val="BBC624DA"/>
    <w:lvl w:ilvl="0" w:tplc="FFD4168E">
      <w:numFmt w:val="bullet"/>
      <w:lvlText w:val="-"/>
      <w:lvlJc w:val="left"/>
      <w:pPr>
        <w:ind w:left="941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5" w15:restartNumberingAfterBreak="0">
    <w:nsid w:val="70152FC5"/>
    <w:multiLevelType w:val="hybridMultilevel"/>
    <w:tmpl w:val="842AA824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C566F1"/>
    <w:multiLevelType w:val="hybridMultilevel"/>
    <w:tmpl w:val="09F09E78"/>
    <w:lvl w:ilvl="0" w:tplc="15083A54">
      <w:start w:val="28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92A1565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E973B9F"/>
    <w:multiLevelType w:val="hybridMultilevel"/>
    <w:tmpl w:val="135ACD90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8"/>
  </w:num>
  <w:num w:numId="4">
    <w:abstractNumId w:val="33"/>
  </w:num>
  <w:num w:numId="5">
    <w:abstractNumId w:val="14"/>
  </w:num>
  <w:num w:numId="6">
    <w:abstractNumId w:val="15"/>
  </w:num>
  <w:num w:numId="7">
    <w:abstractNumId w:val="26"/>
  </w:num>
  <w:num w:numId="8">
    <w:abstractNumId w:val="37"/>
  </w:num>
  <w:num w:numId="9">
    <w:abstractNumId w:val="23"/>
  </w:num>
  <w:num w:numId="10">
    <w:abstractNumId w:val="16"/>
  </w:num>
  <w:num w:numId="11">
    <w:abstractNumId w:val="34"/>
  </w:num>
  <w:num w:numId="12">
    <w:abstractNumId w:val="5"/>
  </w:num>
  <w:num w:numId="13">
    <w:abstractNumId w:val="4"/>
  </w:num>
  <w:num w:numId="14">
    <w:abstractNumId w:val="12"/>
  </w:num>
  <w:num w:numId="15">
    <w:abstractNumId w:val="24"/>
  </w:num>
  <w:num w:numId="16">
    <w:abstractNumId w:val="31"/>
  </w:num>
  <w:num w:numId="17">
    <w:abstractNumId w:val="21"/>
  </w:num>
  <w:num w:numId="18">
    <w:abstractNumId w:val="0"/>
  </w:num>
  <w:num w:numId="19">
    <w:abstractNumId w:val="32"/>
  </w:num>
  <w:num w:numId="20">
    <w:abstractNumId w:val="10"/>
  </w:num>
  <w:num w:numId="21">
    <w:abstractNumId w:val="18"/>
  </w:num>
  <w:num w:numId="22">
    <w:abstractNumId w:val="30"/>
  </w:num>
  <w:num w:numId="23">
    <w:abstractNumId w:val="36"/>
  </w:num>
  <w:num w:numId="24">
    <w:abstractNumId w:val="1"/>
  </w:num>
  <w:num w:numId="25">
    <w:abstractNumId w:val="25"/>
  </w:num>
  <w:num w:numId="26">
    <w:abstractNumId w:val="19"/>
  </w:num>
  <w:num w:numId="27">
    <w:abstractNumId w:val="38"/>
  </w:num>
  <w:num w:numId="28">
    <w:abstractNumId w:val="22"/>
  </w:num>
  <w:num w:numId="29">
    <w:abstractNumId w:val="1"/>
  </w:num>
  <w:num w:numId="30">
    <w:abstractNumId w:val="11"/>
  </w:num>
  <w:num w:numId="31">
    <w:abstractNumId w:val="6"/>
  </w:num>
  <w:num w:numId="32">
    <w:abstractNumId w:val="17"/>
  </w:num>
  <w:num w:numId="33">
    <w:abstractNumId w:val="28"/>
  </w:num>
  <w:num w:numId="34">
    <w:abstractNumId w:val="2"/>
  </w:num>
  <w:num w:numId="35">
    <w:abstractNumId w:val="27"/>
  </w:num>
  <w:num w:numId="36">
    <w:abstractNumId w:val="20"/>
  </w:num>
  <w:num w:numId="37">
    <w:abstractNumId w:val="9"/>
  </w:num>
  <w:num w:numId="38">
    <w:abstractNumId w:val="7"/>
  </w:num>
  <w:num w:numId="39">
    <w:abstractNumId w:val="3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BAD"/>
    <w:rsid w:val="00000B8A"/>
    <w:rsid w:val="00004E03"/>
    <w:rsid w:val="00005691"/>
    <w:rsid w:val="0002290A"/>
    <w:rsid w:val="00036507"/>
    <w:rsid w:val="00052422"/>
    <w:rsid w:val="00054A67"/>
    <w:rsid w:val="000644CC"/>
    <w:rsid w:val="00066732"/>
    <w:rsid w:val="00076C4F"/>
    <w:rsid w:val="00082EA8"/>
    <w:rsid w:val="000903FC"/>
    <w:rsid w:val="0009309D"/>
    <w:rsid w:val="00095941"/>
    <w:rsid w:val="000A5124"/>
    <w:rsid w:val="000C1456"/>
    <w:rsid w:val="000C191F"/>
    <w:rsid w:val="000C2E5A"/>
    <w:rsid w:val="000C785C"/>
    <w:rsid w:val="000E42A4"/>
    <w:rsid w:val="000E78B0"/>
    <w:rsid w:val="000F0251"/>
    <w:rsid w:val="000F32C0"/>
    <w:rsid w:val="000F4B56"/>
    <w:rsid w:val="00102CC7"/>
    <w:rsid w:val="001130FC"/>
    <w:rsid w:val="001145B0"/>
    <w:rsid w:val="00117086"/>
    <w:rsid w:val="00124BE2"/>
    <w:rsid w:val="001302A8"/>
    <w:rsid w:val="001354A3"/>
    <w:rsid w:val="00136150"/>
    <w:rsid w:val="0014275E"/>
    <w:rsid w:val="00152FEC"/>
    <w:rsid w:val="001557CE"/>
    <w:rsid w:val="00162064"/>
    <w:rsid w:val="00162F12"/>
    <w:rsid w:val="00165603"/>
    <w:rsid w:val="00171824"/>
    <w:rsid w:val="001809E2"/>
    <w:rsid w:val="0018138B"/>
    <w:rsid w:val="00194804"/>
    <w:rsid w:val="001B4820"/>
    <w:rsid w:val="001D4E6D"/>
    <w:rsid w:val="001D6497"/>
    <w:rsid w:val="001D6D6D"/>
    <w:rsid w:val="001E1E0B"/>
    <w:rsid w:val="001E2FF5"/>
    <w:rsid w:val="001F026C"/>
    <w:rsid w:val="001F603F"/>
    <w:rsid w:val="001F7C65"/>
    <w:rsid w:val="00200B45"/>
    <w:rsid w:val="0020270E"/>
    <w:rsid w:val="0021268E"/>
    <w:rsid w:val="00225630"/>
    <w:rsid w:val="002320C7"/>
    <w:rsid w:val="002324B6"/>
    <w:rsid w:val="0023383E"/>
    <w:rsid w:val="00235015"/>
    <w:rsid w:val="0025382E"/>
    <w:rsid w:val="00254D8A"/>
    <w:rsid w:val="0027544A"/>
    <w:rsid w:val="002871A4"/>
    <w:rsid w:val="002A45BB"/>
    <w:rsid w:val="002B0234"/>
    <w:rsid w:val="002B29F3"/>
    <w:rsid w:val="002B4253"/>
    <w:rsid w:val="002B6A8F"/>
    <w:rsid w:val="002C6E73"/>
    <w:rsid w:val="002E5EB9"/>
    <w:rsid w:val="002F1AC1"/>
    <w:rsid w:val="00310653"/>
    <w:rsid w:val="00321539"/>
    <w:rsid w:val="00331F7F"/>
    <w:rsid w:val="00334ED8"/>
    <w:rsid w:val="00343C9C"/>
    <w:rsid w:val="003451DF"/>
    <w:rsid w:val="00351DDD"/>
    <w:rsid w:val="003623D3"/>
    <w:rsid w:val="003676F5"/>
    <w:rsid w:val="00377D2E"/>
    <w:rsid w:val="00387F76"/>
    <w:rsid w:val="003C16B6"/>
    <w:rsid w:val="003D24DF"/>
    <w:rsid w:val="003D34C2"/>
    <w:rsid w:val="003F18F7"/>
    <w:rsid w:val="003F4367"/>
    <w:rsid w:val="003F70CE"/>
    <w:rsid w:val="004123A3"/>
    <w:rsid w:val="00415BAD"/>
    <w:rsid w:val="00417C11"/>
    <w:rsid w:val="0042190C"/>
    <w:rsid w:val="00432A05"/>
    <w:rsid w:val="004336FA"/>
    <w:rsid w:val="0044020E"/>
    <w:rsid w:val="004509E9"/>
    <w:rsid w:val="00451E16"/>
    <w:rsid w:val="00451E67"/>
    <w:rsid w:val="0045312E"/>
    <w:rsid w:val="004556C0"/>
    <w:rsid w:val="00455E7C"/>
    <w:rsid w:val="004647CC"/>
    <w:rsid w:val="00466108"/>
    <w:rsid w:val="004774CD"/>
    <w:rsid w:val="004918A0"/>
    <w:rsid w:val="0049629B"/>
    <w:rsid w:val="004A1C4E"/>
    <w:rsid w:val="004A4354"/>
    <w:rsid w:val="004A4BC6"/>
    <w:rsid w:val="004A5D03"/>
    <w:rsid w:val="004B35BC"/>
    <w:rsid w:val="004B6D2F"/>
    <w:rsid w:val="004C19D5"/>
    <w:rsid w:val="004D1FAA"/>
    <w:rsid w:val="004D2991"/>
    <w:rsid w:val="004D41AF"/>
    <w:rsid w:val="004D4EA2"/>
    <w:rsid w:val="004D5BD8"/>
    <w:rsid w:val="004D7D5C"/>
    <w:rsid w:val="004E38A1"/>
    <w:rsid w:val="004E643E"/>
    <w:rsid w:val="004E698E"/>
    <w:rsid w:val="004E7BED"/>
    <w:rsid w:val="004E7C51"/>
    <w:rsid w:val="00500F51"/>
    <w:rsid w:val="00503386"/>
    <w:rsid w:val="005224A2"/>
    <w:rsid w:val="005248AF"/>
    <w:rsid w:val="00526D89"/>
    <w:rsid w:val="00530ACC"/>
    <w:rsid w:val="00543F1E"/>
    <w:rsid w:val="00554FF8"/>
    <w:rsid w:val="00564C90"/>
    <w:rsid w:val="0058230F"/>
    <w:rsid w:val="0059050F"/>
    <w:rsid w:val="005A2CB5"/>
    <w:rsid w:val="005A38C0"/>
    <w:rsid w:val="005A772C"/>
    <w:rsid w:val="005B1AB6"/>
    <w:rsid w:val="005B2D98"/>
    <w:rsid w:val="005C0408"/>
    <w:rsid w:val="005D5B25"/>
    <w:rsid w:val="005D7C9E"/>
    <w:rsid w:val="005E2FF1"/>
    <w:rsid w:val="005E45DF"/>
    <w:rsid w:val="005E5D48"/>
    <w:rsid w:val="006226AF"/>
    <w:rsid w:val="00625B28"/>
    <w:rsid w:val="00631ED2"/>
    <w:rsid w:val="00637AB2"/>
    <w:rsid w:val="006467B3"/>
    <w:rsid w:val="006A7CB5"/>
    <w:rsid w:val="006B6B9E"/>
    <w:rsid w:val="006B6FA7"/>
    <w:rsid w:val="006E6BBA"/>
    <w:rsid w:val="006F00D1"/>
    <w:rsid w:val="00711CEA"/>
    <w:rsid w:val="007176CC"/>
    <w:rsid w:val="00727AF8"/>
    <w:rsid w:val="00755D1C"/>
    <w:rsid w:val="00760C2F"/>
    <w:rsid w:val="00762DB0"/>
    <w:rsid w:val="00770170"/>
    <w:rsid w:val="00777899"/>
    <w:rsid w:val="00794E6B"/>
    <w:rsid w:val="007B5382"/>
    <w:rsid w:val="007C4729"/>
    <w:rsid w:val="007D4409"/>
    <w:rsid w:val="007F310C"/>
    <w:rsid w:val="007F6942"/>
    <w:rsid w:val="00801508"/>
    <w:rsid w:val="00811A36"/>
    <w:rsid w:val="00824DC1"/>
    <w:rsid w:val="00825D78"/>
    <w:rsid w:val="00842856"/>
    <w:rsid w:val="00850AE4"/>
    <w:rsid w:val="00865D96"/>
    <w:rsid w:val="00870976"/>
    <w:rsid w:val="00871529"/>
    <w:rsid w:val="00873AE4"/>
    <w:rsid w:val="00886392"/>
    <w:rsid w:val="00896C72"/>
    <w:rsid w:val="008A04BD"/>
    <w:rsid w:val="008C34BC"/>
    <w:rsid w:val="008C43AB"/>
    <w:rsid w:val="008D2A80"/>
    <w:rsid w:val="008E329A"/>
    <w:rsid w:val="00900D3E"/>
    <w:rsid w:val="009038DE"/>
    <w:rsid w:val="0091437A"/>
    <w:rsid w:val="0092191F"/>
    <w:rsid w:val="009339E3"/>
    <w:rsid w:val="009341FE"/>
    <w:rsid w:val="009654F9"/>
    <w:rsid w:val="00966156"/>
    <w:rsid w:val="009751A0"/>
    <w:rsid w:val="00986000"/>
    <w:rsid w:val="0099597B"/>
    <w:rsid w:val="009B4439"/>
    <w:rsid w:val="009D4FB2"/>
    <w:rsid w:val="009F0F0B"/>
    <w:rsid w:val="009F291E"/>
    <w:rsid w:val="00A017C5"/>
    <w:rsid w:val="00A02976"/>
    <w:rsid w:val="00A05D0D"/>
    <w:rsid w:val="00A37BC4"/>
    <w:rsid w:val="00A46B49"/>
    <w:rsid w:val="00A51101"/>
    <w:rsid w:val="00A53A37"/>
    <w:rsid w:val="00A650C4"/>
    <w:rsid w:val="00A66628"/>
    <w:rsid w:val="00A75EA9"/>
    <w:rsid w:val="00A92A83"/>
    <w:rsid w:val="00AA7018"/>
    <w:rsid w:val="00AB775D"/>
    <w:rsid w:val="00AC1AB6"/>
    <w:rsid w:val="00AC309A"/>
    <w:rsid w:val="00AC530D"/>
    <w:rsid w:val="00AC7D0B"/>
    <w:rsid w:val="00AD5AC0"/>
    <w:rsid w:val="00AD61A5"/>
    <w:rsid w:val="00AE275C"/>
    <w:rsid w:val="00AE7038"/>
    <w:rsid w:val="00AF4900"/>
    <w:rsid w:val="00B04C67"/>
    <w:rsid w:val="00B16393"/>
    <w:rsid w:val="00B16440"/>
    <w:rsid w:val="00B2620B"/>
    <w:rsid w:val="00B47E15"/>
    <w:rsid w:val="00B56957"/>
    <w:rsid w:val="00B56C4B"/>
    <w:rsid w:val="00B579A4"/>
    <w:rsid w:val="00B63B55"/>
    <w:rsid w:val="00B65DE7"/>
    <w:rsid w:val="00B6686B"/>
    <w:rsid w:val="00B67CCA"/>
    <w:rsid w:val="00B70A36"/>
    <w:rsid w:val="00B75BC9"/>
    <w:rsid w:val="00B76207"/>
    <w:rsid w:val="00B83D89"/>
    <w:rsid w:val="00B8658C"/>
    <w:rsid w:val="00B87AC5"/>
    <w:rsid w:val="00B96750"/>
    <w:rsid w:val="00BA0C48"/>
    <w:rsid w:val="00BA1890"/>
    <w:rsid w:val="00BB4790"/>
    <w:rsid w:val="00BB78DA"/>
    <w:rsid w:val="00BC2CEB"/>
    <w:rsid w:val="00BC5ED9"/>
    <w:rsid w:val="00BC7791"/>
    <w:rsid w:val="00BD2E32"/>
    <w:rsid w:val="00BD395D"/>
    <w:rsid w:val="00BD5DEA"/>
    <w:rsid w:val="00BE5C2B"/>
    <w:rsid w:val="00BF275F"/>
    <w:rsid w:val="00BF698E"/>
    <w:rsid w:val="00C00481"/>
    <w:rsid w:val="00C0504C"/>
    <w:rsid w:val="00C331EF"/>
    <w:rsid w:val="00C334BE"/>
    <w:rsid w:val="00C64CED"/>
    <w:rsid w:val="00C66334"/>
    <w:rsid w:val="00C73AC8"/>
    <w:rsid w:val="00C84A6C"/>
    <w:rsid w:val="00C857E9"/>
    <w:rsid w:val="00C955BE"/>
    <w:rsid w:val="00CB21A9"/>
    <w:rsid w:val="00CB4055"/>
    <w:rsid w:val="00CB495D"/>
    <w:rsid w:val="00CC6F66"/>
    <w:rsid w:val="00CD1460"/>
    <w:rsid w:val="00CD5003"/>
    <w:rsid w:val="00CD6EA8"/>
    <w:rsid w:val="00CF1A62"/>
    <w:rsid w:val="00CF1AFA"/>
    <w:rsid w:val="00CF2192"/>
    <w:rsid w:val="00D00253"/>
    <w:rsid w:val="00D02329"/>
    <w:rsid w:val="00D0240C"/>
    <w:rsid w:val="00D02B4B"/>
    <w:rsid w:val="00D03B57"/>
    <w:rsid w:val="00D04AFE"/>
    <w:rsid w:val="00D20557"/>
    <w:rsid w:val="00D232DF"/>
    <w:rsid w:val="00D2377A"/>
    <w:rsid w:val="00D2682E"/>
    <w:rsid w:val="00D44A83"/>
    <w:rsid w:val="00D53F0B"/>
    <w:rsid w:val="00D549C1"/>
    <w:rsid w:val="00D669AA"/>
    <w:rsid w:val="00D675CF"/>
    <w:rsid w:val="00D70414"/>
    <w:rsid w:val="00D75DD8"/>
    <w:rsid w:val="00D92512"/>
    <w:rsid w:val="00DB3FD8"/>
    <w:rsid w:val="00DB591C"/>
    <w:rsid w:val="00DC3665"/>
    <w:rsid w:val="00DC527A"/>
    <w:rsid w:val="00DD1982"/>
    <w:rsid w:val="00DD1F08"/>
    <w:rsid w:val="00DD2BFC"/>
    <w:rsid w:val="00DF4A08"/>
    <w:rsid w:val="00DF689F"/>
    <w:rsid w:val="00E05E29"/>
    <w:rsid w:val="00E070E6"/>
    <w:rsid w:val="00E15459"/>
    <w:rsid w:val="00E16CA6"/>
    <w:rsid w:val="00E16D30"/>
    <w:rsid w:val="00E32975"/>
    <w:rsid w:val="00E56801"/>
    <w:rsid w:val="00E61F12"/>
    <w:rsid w:val="00E66C65"/>
    <w:rsid w:val="00E71A4D"/>
    <w:rsid w:val="00E762E2"/>
    <w:rsid w:val="00E771F2"/>
    <w:rsid w:val="00EA39E7"/>
    <w:rsid w:val="00EA4B96"/>
    <w:rsid w:val="00EB2BAC"/>
    <w:rsid w:val="00EB4FE3"/>
    <w:rsid w:val="00EC15B5"/>
    <w:rsid w:val="00EC5DF7"/>
    <w:rsid w:val="00EC6A7B"/>
    <w:rsid w:val="00ED5355"/>
    <w:rsid w:val="00ED7A8D"/>
    <w:rsid w:val="00EE147C"/>
    <w:rsid w:val="00EE4306"/>
    <w:rsid w:val="00EE6055"/>
    <w:rsid w:val="00EE7EE1"/>
    <w:rsid w:val="00F00FE9"/>
    <w:rsid w:val="00F10396"/>
    <w:rsid w:val="00F12D65"/>
    <w:rsid w:val="00F24DD7"/>
    <w:rsid w:val="00F26421"/>
    <w:rsid w:val="00F27B7E"/>
    <w:rsid w:val="00F30706"/>
    <w:rsid w:val="00F34466"/>
    <w:rsid w:val="00F40720"/>
    <w:rsid w:val="00F40F12"/>
    <w:rsid w:val="00F41AF4"/>
    <w:rsid w:val="00F42651"/>
    <w:rsid w:val="00F56C15"/>
    <w:rsid w:val="00F83B56"/>
    <w:rsid w:val="00F93807"/>
    <w:rsid w:val="00F9555C"/>
    <w:rsid w:val="00F96177"/>
    <w:rsid w:val="00FA0C87"/>
    <w:rsid w:val="00FB4D41"/>
    <w:rsid w:val="00FB7BC0"/>
    <w:rsid w:val="00FC1A6E"/>
    <w:rsid w:val="00FC1F4A"/>
    <w:rsid w:val="00FC4978"/>
    <w:rsid w:val="00FC6C6E"/>
    <w:rsid w:val="00FD241A"/>
    <w:rsid w:val="00FE59E5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E1BA"/>
  <w15:docId w15:val="{AA657C56-D210-4CB0-A320-E4DA3783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5BAD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5BA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15BAD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15BAD"/>
    <w:rPr>
      <w:rFonts w:ascii="Times New Roman" w:hAnsi="Times New Roman"/>
      <w:sz w:val="28"/>
    </w:rPr>
  </w:style>
  <w:style w:type="paragraph" w:customStyle="1" w:styleId="rvps2">
    <w:name w:val="rvps2"/>
    <w:basedOn w:val="a"/>
    <w:rsid w:val="00415BA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5C0408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75BC9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75BC9"/>
    <w:rPr>
      <w:rFonts w:ascii="Segoe UI" w:hAnsi="Segoe UI" w:cs="Segoe UI"/>
      <w:sz w:val="18"/>
      <w:szCs w:val="18"/>
    </w:rPr>
  </w:style>
  <w:style w:type="character" w:customStyle="1" w:styleId="4">
    <w:name w:val="Основной текст (4)"/>
    <w:uiPriority w:val="99"/>
    <w:rsid w:val="008D2A80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a9">
    <w:name w:val="Основний текст Знак"/>
    <w:link w:val="aa"/>
    <w:uiPriority w:val="99"/>
    <w:rsid w:val="008D2A80"/>
    <w:rPr>
      <w:rFonts w:ascii="Times New Roman" w:hAnsi="Times New Roman"/>
      <w:sz w:val="23"/>
      <w:szCs w:val="23"/>
      <w:shd w:val="clear" w:color="auto" w:fill="FFFFFF"/>
    </w:rPr>
  </w:style>
  <w:style w:type="paragraph" w:styleId="aa">
    <w:name w:val="Body Text"/>
    <w:basedOn w:val="a"/>
    <w:link w:val="a9"/>
    <w:uiPriority w:val="99"/>
    <w:rsid w:val="008D2A80"/>
    <w:pPr>
      <w:widowControl w:val="0"/>
      <w:shd w:val="clear" w:color="auto" w:fill="FFFFFF"/>
      <w:spacing w:after="60" w:line="240" w:lineRule="atLeast"/>
      <w:ind w:hanging="2000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8D2A80"/>
    <w:rPr>
      <w:rFonts w:ascii="Times New Roman" w:hAnsi="Times New Roman"/>
      <w:sz w:val="28"/>
    </w:rPr>
  </w:style>
  <w:style w:type="paragraph" w:styleId="ab">
    <w:name w:val="Normal (Web)"/>
    <w:basedOn w:val="a"/>
    <w:uiPriority w:val="99"/>
    <w:rsid w:val="00B63B5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2Exact">
    <w:name w:val="Основной текст (2) Exact"/>
    <w:basedOn w:val="a0"/>
    <w:rsid w:val="00AF4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c">
    <w:name w:val="footer"/>
    <w:basedOn w:val="a"/>
    <w:link w:val="ad"/>
    <w:uiPriority w:val="99"/>
    <w:unhideWhenUsed/>
    <w:rsid w:val="00BC7791"/>
    <w:pPr>
      <w:tabs>
        <w:tab w:val="center" w:pos="4844"/>
        <w:tab w:val="right" w:pos="968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BC7791"/>
    <w:rPr>
      <w:rFonts w:ascii="Times New Roman" w:hAnsi="Times New Roman"/>
      <w:sz w:val="28"/>
    </w:rPr>
  </w:style>
  <w:style w:type="character" w:customStyle="1" w:styleId="212pt">
    <w:name w:val="Основной текст (2) + 12 pt"/>
    <w:basedOn w:val="a0"/>
    <w:rsid w:val="00331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ae">
    <w:name w:val="[Немає стилю абзацу]"/>
    <w:uiPriority w:val="99"/>
    <w:rsid w:val="00B56C4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character" w:customStyle="1" w:styleId="rvts23">
    <w:name w:val="rvts23"/>
    <w:rsid w:val="009F291E"/>
  </w:style>
  <w:style w:type="character" w:styleId="af">
    <w:name w:val="Emphasis"/>
    <w:basedOn w:val="a0"/>
    <w:qFormat/>
    <w:rsid w:val="0025382E"/>
    <w:rPr>
      <w:i/>
      <w:iCs/>
    </w:rPr>
  </w:style>
  <w:style w:type="character" w:styleId="af0">
    <w:name w:val="Placeholder Text"/>
    <w:basedOn w:val="a0"/>
    <w:uiPriority w:val="99"/>
    <w:semiHidden/>
    <w:rsid w:val="00B65D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9B3F2-9A5C-4F21-BC61-327E6039A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4</Pages>
  <Words>1320</Words>
  <Characters>7527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Пастушок Ольга Михайлівна</dc:creator>
  <cp:lastModifiedBy>Яна Граждян</cp:lastModifiedBy>
  <cp:revision>137</cp:revision>
  <cp:lastPrinted>2025-06-02T09:19:00Z</cp:lastPrinted>
  <dcterms:created xsi:type="dcterms:W3CDTF">2021-03-23T13:15:00Z</dcterms:created>
  <dcterms:modified xsi:type="dcterms:W3CDTF">2025-06-02T09:19:00Z</dcterms:modified>
</cp:coreProperties>
</file>